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0FDB7" w14:textId="77777777" w:rsidR="00C95628" w:rsidRDefault="00C95628">
      <w:pPr>
        <w:pStyle w:val="Brdtekst"/>
        <w:rPr>
          <w:sz w:val="20"/>
        </w:rPr>
      </w:pPr>
    </w:p>
    <w:p w14:paraId="003202AB" w14:textId="77777777" w:rsidR="00C95628" w:rsidRDefault="00C95628">
      <w:pPr>
        <w:pStyle w:val="Brdtekst"/>
        <w:spacing w:before="9" w:after="1"/>
        <w:rPr>
          <w:sz w:val="15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947"/>
        <w:gridCol w:w="4759"/>
      </w:tblGrid>
      <w:tr w:rsidR="00C95628" w14:paraId="370B8DB9" w14:textId="77777777">
        <w:trPr>
          <w:trHeight w:val="447"/>
        </w:trPr>
        <w:tc>
          <w:tcPr>
            <w:tcW w:w="4947" w:type="dxa"/>
          </w:tcPr>
          <w:p w14:paraId="199CFB8B" w14:textId="77777777" w:rsidR="00C95628" w:rsidRDefault="00C60705">
            <w:pPr>
              <w:pStyle w:val="TableParagraph"/>
              <w:spacing w:line="428" w:lineRule="exact"/>
              <w:ind w:left="200"/>
              <w:rPr>
                <w:rFonts w:ascii="Arial"/>
                <w:sz w:val="40"/>
              </w:rPr>
            </w:pPr>
            <w:bookmarkStart w:id="0" w:name="Faktaark"/>
            <w:bookmarkEnd w:id="0"/>
            <w:r>
              <w:rPr>
                <w:rFonts w:ascii="Arial"/>
                <w:sz w:val="40"/>
              </w:rPr>
              <w:t>Fact sheet</w:t>
            </w:r>
          </w:p>
        </w:tc>
        <w:tc>
          <w:tcPr>
            <w:tcW w:w="4759" w:type="dxa"/>
          </w:tcPr>
          <w:p w14:paraId="366AB76C" w14:textId="77777777" w:rsidR="00C95628" w:rsidRDefault="00C60705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12 March 2020</w:t>
            </w:r>
          </w:p>
        </w:tc>
      </w:tr>
    </w:tbl>
    <w:p w14:paraId="5148B5F1" w14:textId="77777777" w:rsidR="00C95628" w:rsidRDefault="00C95628">
      <w:pPr>
        <w:pStyle w:val="Brdtekst"/>
        <w:rPr>
          <w:sz w:val="20"/>
        </w:rPr>
      </w:pPr>
    </w:p>
    <w:p w14:paraId="6D78C02E" w14:textId="77777777" w:rsidR="00C95628" w:rsidRDefault="00C60705">
      <w:pPr>
        <w:pStyle w:val="Brdtekst"/>
        <w:spacing w:before="7"/>
        <w:rPr>
          <w:sz w:val="18"/>
        </w:rPr>
      </w:pPr>
      <w:r>
        <w:pict w14:anchorId="0D808980">
          <v:shape id="_x0000_s1026" style="position:absolute;margin-left:70.9pt;margin-top:12.95pt;width:377.05pt;height:.1pt;z-index:-251658752;mso-wrap-distance-left:0;mso-wrap-distance-right:0;mso-position-horizontal-relative:page" coordorigin="1418,259" coordsize="7541,0" path="m1418,259r7541,e" filled="f" strokeweight=".48pt">
            <v:path arrowok="t"/>
            <w10:wrap type="topAndBottom" anchorx="page"/>
          </v:shape>
        </w:pict>
      </w:r>
    </w:p>
    <w:p w14:paraId="4C71988D" w14:textId="77777777" w:rsidR="00C95628" w:rsidRDefault="00C95628">
      <w:pPr>
        <w:pStyle w:val="Brdtekst"/>
        <w:spacing w:before="11"/>
        <w:rPr>
          <w:sz w:val="6"/>
        </w:rPr>
      </w:pPr>
    </w:p>
    <w:p w14:paraId="3CF62C2B" w14:textId="77777777" w:rsidR="00C95628" w:rsidRDefault="00C60705">
      <w:pPr>
        <w:spacing w:before="91"/>
        <w:ind w:left="318"/>
        <w:rPr>
          <w:rFonts w:ascii="Arial" w:hAnsi="Arial"/>
          <w:sz w:val="26"/>
        </w:rPr>
      </w:pPr>
      <w:r>
        <w:rPr>
          <w:rFonts w:ascii="Arial" w:hAnsi="Arial"/>
          <w:sz w:val="26"/>
        </w:rPr>
        <w:t>Working time distribution will become more flexible</w:t>
      </w:r>
    </w:p>
    <w:p w14:paraId="4B094A62" w14:textId="77777777" w:rsidR="00C95628" w:rsidRDefault="00C95628">
      <w:pPr>
        <w:pStyle w:val="Brdtekst"/>
        <w:spacing w:before="8"/>
        <w:rPr>
          <w:rFonts w:ascii="Arial"/>
          <w:sz w:val="23"/>
        </w:rPr>
      </w:pPr>
    </w:p>
    <w:p w14:paraId="3E77667F" w14:textId="34FCA8B1" w:rsidR="00C95628" w:rsidRDefault="00C60705">
      <w:pPr>
        <w:pStyle w:val="Brdtekst"/>
        <w:spacing w:line="242" w:lineRule="auto"/>
        <w:ind w:left="318" w:right="2136"/>
      </w:pPr>
      <w:r>
        <w:t>The distribution of work</w:t>
      </w:r>
      <w:r w:rsidR="00FE79D4">
        <w:t>ing time</w:t>
      </w:r>
      <w:r>
        <w:t xml:space="preserve"> scheme will make </w:t>
      </w:r>
      <w:r>
        <w:t>i</w:t>
      </w:r>
      <w:r w:rsidR="00FE79D4">
        <w:t>t</w:t>
      </w:r>
      <w:r>
        <w:t xml:space="preserve"> </w:t>
      </w:r>
      <w:r>
        <w:t xml:space="preserve">possible to temporarily reduce </w:t>
      </w:r>
      <w:r>
        <w:t xml:space="preserve">working time </w:t>
      </w:r>
      <w:r w:rsidR="00FE79D4">
        <w:t>in accordance with</w:t>
      </w:r>
      <w:r>
        <w:t xml:space="preserve"> the collective agreement for a period of time</w:t>
      </w:r>
      <w:r w:rsidR="00FE79D4">
        <w:t>,</w:t>
      </w:r>
      <w:r>
        <w:t xml:space="preserve"> </w:t>
      </w:r>
      <w:r w:rsidR="00FE79D4">
        <w:t>and thereby avoid</w:t>
      </w:r>
      <w:r>
        <w:t xml:space="preserve"> dismissal of the affected employees</w:t>
      </w:r>
      <w:r w:rsidR="00FE79D4">
        <w:t>, f</w:t>
      </w:r>
      <w:r>
        <w:t xml:space="preserve">or example during </w:t>
      </w:r>
      <w:r w:rsidR="00FE79D4">
        <w:t>times of declining</w:t>
      </w:r>
      <w:r>
        <w:t xml:space="preserve"> orders. Under </w:t>
      </w:r>
      <w:r w:rsidR="00FE79D4">
        <w:t>the distribution of</w:t>
      </w:r>
      <w:r>
        <w:t xml:space="preserve"> working time</w:t>
      </w:r>
      <w:r w:rsidR="00A6005D">
        <w:t xml:space="preserve"> scheme</w:t>
      </w:r>
      <w:r>
        <w:t>, it will be possible to receive supplementary unemployment benefits during periods when employees are not working due to reduced hours.</w:t>
      </w:r>
    </w:p>
    <w:p w14:paraId="05A3E843" w14:textId="77777777" w:rsidR="00C95628" w:rsidRDefault="00C95628">
      <w:pPr>
        <w:pStyle w:val="Brdtekst"/>
        <w:spacing w:before="10"/>
      </w:pPr>
    </w:p>
    <w:p w14:paraId="7C1208CF" w14:textId="77777777" w:rsidR="00C95628" w:rsidRDefault="00C60705">
      <w:pPr>
        <w:pStyle w:val="Brdtekst"/>
        <w:spacing w:line="242" w:lineRule="auto"/>
        <w:ind w:left="318" w:right="1787"/>
      </w:pPr>
      <w:r>
        <w:t xml:space="preserve">The Government has decided to make the scheme more flexible so that companies can </w:t>
      </w:r>
      <w:r>
        <w:t>adapt to the current situation quicker. It is intended to help companies use the scheme to avoid job cuts due to COVID-19.</w:t>
      </w:r>
    </w:p>
    <w:p w14:paraId="5AE8EF6C" w14:textId="77777777" w:rsidR="00C95628" w:rsidRDefault="00C95628">
      <w:pPr>
        <w:pStyle w:val="Brdtekst"/>
        <w:spacing w:before="9"/>
      </w:pPr>
    </w:p>
    <w:p w14:paraId="3535F6C0" w14:textId="6B53F991" w:rsidR="00C95628" w:rsidRDefault="00C60705">
      <w:pPr>
        <w:pStyle w:val="Brdtekst"/>
        <w:spacing w:line="242" w:lineRule="auto"/>
        <w:ind w:left="318" w:right="1787"/>
      </w:pPr>
      <w:r>
        <w:t xml:space="preserve">The rules are therefore changed so that a new </w:t>
      </w:r>
      <w:r>
        <w:t xml:space="preserve">working time distribution </w:t>
      </w:r>
      <w:r w:rsidR="00FE79D4">
        <w:t xml:space="preserve">can be launched as soon as it </w:t>
      </w:r>
      <w:r>
        <w:t xml:space="preserve">has been notified to the job centre. This temporarily sets aside the current requirement that a working time distribution change </w:t>
      </w:r>
      <w:bookmarkStart w:id="1" w:name="_GoBack"/>
      <w:bookmarkEnd w:id="1"/>
      <w:r>
        <w:t xml:space="preserve">must be notified to the job centre no later than a week before it </w:t>
      </w:r>
      <w:r>
        <w:t>can come into force.</w:t>
      </w:r>
    </w:p>
    <w:p w14:paraId="7247E888" w14:textId="77777777" w:rsidR="00C95628" w:rsidRDefault="00C95628">
      <w:pPr>
        <w:pStyle w:val="Brdtekst"/>
        <w:spacing w:before="8"/>
      </w:pPr>
    </w:p>
    <w:p w14:paraId="4BB09FDE" w14:textId="26FA8E16" w:rsidR="00C95628" w:rsidRDefault="00C60705">
      <w:pPr>
        <w:pStyle w:val="Brdtekst"/>
        <w:spacing w:before="1" w:line="242" w:lineRule="auto"/>
        <w:ind w:left="318" w:right="1997"/>
        <w:jc w:val="both"/>
      </w:pPr>
      <w:r>
        <w:t>At the same time, companies will get the opportunity to alternate between the types of working time distribution once a cycle of working time distribution has ended. This makes the scheme more flexible</w:t>
      </w:r>
      <w:r w:rsidR="00083016">
        <w:t>, enabling</w:t>
      </w:r>
      <w:r>
        <w:t xml:space="preserve"> quicker adjustments to</w:t>
      </w:r>
      <w:r>
        <w:t xml:space="preserve"> production.</w:t>
      </w:r>
    </w:p>
    <w:p w14:paraId="51F1E83B" w14:textId="77777777" w:rsidR="00C95628" w:rsidRDefault="00C95628">
      <w:pPr>
        <w:pStyle w:val="Brdtekst"/>
        <w:spacing w:before="6"/>
      </w:pPr>
    </w:p>
    <w:p w14:paraId="4866FE71" w14:textId="77777777" w:rsidR="00C95628" w:rsidRDefault="00C60705">
      <w:pPr>
        <w:ind w:left="318"/>
        <w:rPr>
          <w:i/>
          <w:sz w:val="24"/>
        </w:rPr>
      </w:pPr>
      <w:bookmarkStart w:id="2" w:name="Baggrund"/>
      <w:bookmarkEnd w:id="2"/>
      <w:r>
        <w:rPr>
          <w:i/>
          <w:sz w:val="24"/>
        </w:rPr>
        <w:t>Background</w:t>
      </w:r>
    </w:p>
    <w:p w14:paraId="323C1B2E" w14:textId="0500DBD5" w:rsidR="00C95628" w:rsidRDefault="00C60705">
      <w:pPr>
        <w:pStyle w:val="Brdtekst"/>
        <w:spacing w:before="5" w:line="242" w:lineRule="auto"/>
        <w:ind w:left="318" w:right="2053"/>
        <w:jc w:val="both"/>
      </w:pPr>
      <w:r>
        <w:t>A member of an unemployment insurance fund who is covered by a notified working time distribution scheme can, under a range of conditions, receive supplementary unemployment benefit for the days wh</w:t>
      </w:r>
      <w:r w:rsidR="00083016">
        <w:t>en</w:t>
      </w:r>
      <w:r>
        <w:t xml:space="preserve"> the employee in question does </w:t>
      </w:r>
      <w:r>
        <w:t>not work.</w:t>
      </w:r>
    </w:p>
    <w:p w14:paraId="46EB7D4A" w14:textId="77777777" w:rsidR="00C95628" w:rsidRDefault="00C95628">
      <w:pPr>
        <w:pStyle w:val="Brdtekst"/>
        <w:spacing w:before="8"/>
      </w:pPr>
    </w:p>
    <w:p w14:paraId="533267F5" w14:textId="77777777" w:rsidR="00C95628" w:rsidRDefault="00C60705">
      <w:pPr>
        <w:pStyle w:val="Brdtekst"/>
        <w:spacing w:line="242" w:lineRule="auto"/>
        <w:ind w:left="318" w:right="2083"/>
        <w:jc w:val="both"/>
      </w:pPr>
      <w:r>
        <w:t>The working time distribution must be established in accordance with a collective agreement or a local agreement.</w:t>
      </w:r>
    </w:p>
    <w:p w14:paraId="4FCB074E" w14:textId="77777777" w:rsidR="00C95628" w:rsidRDefault="00C95628">
      <w:pPr>
        <w:pStyle w:val="Brdtekst"/>
        <w:spacing w:before="7"/>
      </w:pPr>
    </w:p>
    <w:p w14:paraId="3AE42B5B" w14:textId="5526C6D8" w:rsidR="00C95628" w:rsidRDefault="00C60705">
      <w:pPr>
        <w:pStyle w:val="Brdtekst"/>
        <w:spacing w:line="242" w:lineRule="auto"/>
        <w:ind w:left="318" w:right="1787"/>
      </w:pPr>
      <w:r>
        <w:t xml:space="preserve">The working time must be reduced by at least 2 whole days per week or by one week of </w:t>
      </w:r>
      <w:r w:rsidR="00FE79D4">
        <w:t>full-time</w:t>
      </w:r>
      <w:r>
        <w:t xml:space="preserve"> work followed by one week of unempl</w:t>
      </w:r>
      <w:r>
        <w:t xml:space="preserve">oyment. However, the distribution can also be two weeks of work followed by one week of unemployment or two weeks of </w:t>
      </w:r>
      <w:r w:rsidR="00FE79D4">
        <w:t>full-time</w:t>
      </w:r>
      <w:r>
        <w:t xml:space="preserve"> work followed by two weeks of unemployment.</w:t>
      </w:r>
    </w:p>
    <w:p w14:paraId="5E600ABD" w14:textId="77777777" w:rsidR="00C95628" w:rsidRDefault="00C95628">
      <w:pPr>
        <w:pStyle w:val="Brdtekst"/>
        <w:spacing w:before="8"/>
      </w:pPr>
    </w:p>
    <w:p w14:paraId="2588D5D8" w14:textId="1E350F89" w:rsidR="00C95628" w:rsidRDefault="00C60705">
      <w:pPr>
        <w:pStyle w:val="Brdtekst"/>
        <w:spacing w:line="242" w:lineRule="auto"/>
        <w:ind w:left="318" w:right="1787"/>
      </w:pPr>
      <w:r>
        <w:t>Companies that are interested in embarking on working time distribution can find mor</w:t>
      </w:r>
      <w:r>
        <w:t xml:space="preserve">e information here: </w:t>
      </w:r>
      <w:r>
        <w:rPr>
          <w:color w:val="0000FF"/>
          <w:u w:val="single" w:color="0000FF"/>
        </w:rPr>
        <w:t>https://star.dk/til-virksomheder/arbejdsfordeling-som-alternativ-til-af</w:t>
      </w:r>
      <w:hyperlink r:id="rId4">
        <w:r>
          <w:rPr>
            <w:color w:val="0000FF"/>
            <w:u w:val="single" w:color="0000FF"/>
          </w:rPr>
          <w:t>skedigelse/</w:t>
        </w:r>
      </w:hyperlink>
    </w:p>
    <w:sectPr w:rsidR="00C95628">
      <w:type w:val="continuous"/>
      <w:pgSz w:w="11910" w:h="16850"/>
      <w:pgMar w:top="1600" w:right="88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628"/>
    <w:rsid w:val="00083016"/>
    <w:rsid w:val="008C34CB"/>
    <w:rsid w:val="00A54EF7"/>
    <w:rsid w:val="00A6005D"/>
    <w:rsid w:val="00C60705"/>
    <w:rsid w:val="00C95628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E3F7F8"/>
  <w15:docId w15:val="{EBA2478F-1DCF-4050-BE4A-351AF447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r.dk/til-virksomheder/arbejdsfordeling-som-alternativ-til-afskedigel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Styregruppe_Økonomiudvalg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Styregruppe_Økonomiudvalg</dc:title>
  <dc:creator>Jannie Kallesøe Pedersen</dc:creator>
  <cp:lastModifiedBy>susanne kiilerich</cp:lastModifiedBy>
  <cp:revision>6</cp:revision>
  <dcterms:created xsi:type="dcterms:W3CDTF">2020-03-16T13:02:00Z</dcterms:created>
  <dcterms:modified xsi:type="dcterms:W3CDTF">2020-03-17T15:42:00Z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Acrobat PDFMaker 20 til Word</vt:lpwstr>
  </property>
  <property fmtid="{D5CDD505-2E9C-101B-9397-08002B2CF9AE}" pid="4" name="LastSaved">
    <vt:filetime>2020-03-16T00:00:00Z</vt:filetime>
  </property>
  <property fmtid="{D5CDD505-2E9C-101B-9397-08002B2CF9AE}" pid="5" name="_AdHocReviewCycleID">
    <vt:i4>1690577166</vt:i4>
  </property>
  <property fmtid="{D5CDD505-2E9C-101B-9397-08002B2CF9AE}" pid="6" name="_NewReviewCycle">
    <vt:lpwstr/>
  </property>
  <property fmtid="{D5CDD505-2E9C-101B-9397-08002B2CF9AE}" pid="7" name="_EmailSubject">
    <vt:lpwstr>The Danish agreement </vt:lpwstr>
  </property>
  <property fmtid="{D5CDD505-2E9C-101B-9397-08002B2CF9AE}" pid="8" name="_AuthorEmail">
    <vt:lpwstr>beso@fho.dk</vt:lpwstr>
  </property>
  <property fmtid="{D5CDD505-2E9C-101B-9397-08002B2CF9AE}" pid="9" name="_AuthorEmailDisplayName">
    <vt:lpwstr>Bente Sorgenfrey</vt:lpwstr>
  </property>
</Properties>
</file>