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AC" w:rsidRDefault="006854AC" w:rsidP="006854AC">
      <w:pPr>
        <w:pStyle w:val="Heading1"/>
        <w:jc w:val="center"/>
      </w:pPr>
      <w:r>
        <w:rPr>
          <w:noProof/>
          <w:lang w:eastAsia="en-IE"/>
        </w:rPr>
        <mc:AlternateContent>
          <mc:Choice Requires="wps">
            <w:drawing>
              <wp:anchor distT="0" distB="0" distL="114300" distR="114300" simplePos="0" relativeHeight="251659264" behindDoc="0" locked="0" layoutInCell="1" allowOverlap="1" wp14:anchorId="17347B45" wp14:editId="5369BA11">
                <wp:simplePos x="0" y="0"/>
                <wp:positionH relativeFrom="column">
                  <wp:posOffset>4045585</wp:posOffset>
                </wp:positionH>
                <wp:positionV relativeFrom="paragraph">
                  <wp:posOffset>-714375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854AC" w:rsidRDefault="006854AC">
                            <w:r>
                              <w:rPr>
                                <w:noProof/>
                                <w:lang w:eastAsia="en-IE"/>
                              </w:rPr>
                              <w:drawing>
                                <wp:inline distT="0" distB="0" distL="0" distR="0" wp14:anchorId="72C046D5" wp14:editId="556A5A42">
                                  <wp:extent cx="2227580" cy="1168269"/>
                                  <wp:effectExtent l="0" t="0" r="1270" b="0"/>
                                  <wp:docPr id="5" name="Picture 5" descr="G:\Information &amp; Resources\Logos\congress\Congress Logos\ict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formation &amp; Resources\Logos\congress\Congress Logos\ictu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116826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55pt;margin-top:-56.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" filled="f" stroked="f">
                <v:textbox style="mso-fit-shape-to-text:t">
                  <w:txbxContent>
                    <w:p w:rsidR="006854AC" w:rsidRDefault="006854AC">
                      <w:r>
                        <w:rPr>
                          <w:noProof/>
                          <w:lang w:eastAsia="en-IE"/>
                        </w:rPr>
                        <w:drawing>
                          <wp:inline distT="0" distB="0" distL="0" distR="0" wp14:anchorId="72C046D5" wp14:editId="556A5A42">
                            <wp:extent cx="2227580" cy="1168269"/>
                            <wp:effectExtent l="0" t="0" r="1270" b="0"/>
                            <wp:docPr id="5" name="Picture 5" descr="G:\Information &amp; Resources\Logos\congress\Congress Logos\ict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formation &amp; Resources\Logos\congress\Congress Logos\ictu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1168269"/>
                                    </a:xfrm>
                                    <a:prstGeom prst="rect">
                                      <a:avLst/>
                                    </a:prstGeom>
                                    <a:noFill/>
                                    <a:ln>
                                      <a:noFill/>
                                    </a:ln>
                                  </pic:spPr>
                                </pic:pic>
                              </a:graphicData>
                            </a:graphic>
                          </wp:inline>
                        </w:drawing>
                      </w:r>
                    </w:p>
                  </w:txbxContent>
                </v:textbox>
              </v:shape>
            </w:pict>
          </mc:Fallback>
        </mc:AlternateContent>
      </w:r>
    </w:p>
    <w:p w:rsidR="008239C2" w:rsidRDefault="008239C2" w:rsidP="006854AC">
      <w:pPr>
        <w:pStyle w:val="Footer"/>
        <w:spacing w:after="0" w:line="240" w:lineRule="auto"/>
        <w:ind w:left="360"/>
        <w:rPr>
          <w:rFonts w:ascii="Calibri" w:hAnsi="Calibri"/>
          <w:b/>
          <w:color w:val="1F497D" w:themeColor="text2"/>
          <w:sz w:val="20"/>
          <w:szCs w:val="20"/>
        </w:rPr>
      </w:pPr>
    </w:p>
    <w:p w:rsidR="008239C2" w:rsidRDefault="008239C2" w:rsidP="006854AC">
      <w:pPr>
        <w:pStyle w:val="Footer"/>
        <w:spacing w:after="0" w:line="240" w:lineRule="auto"/>
        <w:ind w:left="360"/>
        <w:rPr>
          <w:rFonts w:ascii="Calibri" w:hAnsi="Calibri"/>
          <w:b/>
          <w:color w:val="1F497D" w:themeColor="text2"/>
          <w:sz w:val="20"/>
          <w:szCs w:val="20"/>
        </w:rPr>
      </w:pPr>
    </w:p>
    <w:p w:rsidR="008239C2" w:rsidRDefault="008239C2" w:rsidP="006854AC">
      <w:pPr>
        <w:pStyle w:val="Footer"/>
        <w:spacing w:after="0" w:line="240" w:lineRule="auto"/>
        <w:ind w:left="360"/>
        <w:rPr>
          <w:rFonts w:ascii="Calibri" w:hAnsi="Calibri"/>
          <w:b/>
          <w:color w:val="1F497D" w:themeColor="text2"/>
          <w:sz w:val="20"/>
          <w:szCs w:val="20"/>
        </w:rPr>
      </w:pPr>
    </w:p>
    <w:p w:rsidR="008239C2" w:rsidRPr="003A73F9" w:rsidRDefault="005132A3" w:rsidP="008239C2">
      <w:pPr>
        <w:pStyle w:val="Footer"/>
        <w:spacing w:after="0" w:line="240" w:lineRule="auto"/>
        <w:ind w:left="360"/>
        <w:jc w:val="center"/>
        <w:rPr>
          <w:rFonts w:ascii="Calibri" w:hAnsi="Calibri"/>
          <w:b/>
          <w:sz w:val="36"/>
          <w:szCs w:val="32"/>
        </w:rPr>
      </w:pPr>
      <w:r w:rsidRPr="003A73F9">
        <w:rPr>
          <w:rFonts w:ascii="Calibri" w:hAnsi="Calibri"/>
          <w:b/>
          <w:sz w:val="36"/>
          <w:szCs w:val="32"/>
        </w:rPr>
        <w:t xml:space="preserve">A </w:t>
      </w:r>
      <w:r w:rsidR="008239C2" w:rsidRPr="003A73F9">
        <w:rPr>
          <w:rFonts w:ascii="Calibri" w:hAnsi="Calibri"/>
          <w:b/>
          <w:sz w:val="36"/>
          <w:szCs w:val="32"/>
        </w:rPr>
        <w:t xml:space="preserve">Temporary </w:t>
      </w:r>
      <w:r w:rsidR="001C685E" w:rsidRPr="003A73F9">
        <w:rPr>
          <w:rFonts w:ascii="Calibri" w:hAnsi="Calibri"/>
          <w:b/>
          <w:sz w:val="36"/>
          <w:szCs w:val="32"/>
        </w:rPr>
        <w:t>Wage</w:t>
      </w:r>
      <w:r w:rsidR="00C32117" w:rsidRPr="003A73F9">
        <w:rPr>
          <w:rFonts w:ascii="Calibri" w:hAnsi="Calibri"/>
          <w:b/>
          <w:sz w:val="36"/>
          <w:szCs w:val="32"/>
        </w:rPr>
        <w:t xml:space="preserve"> Compensation Scheme </w:t>
      </w:r>
    </w:p>
    <w:p w:rsidR="00CC0764" w:rsidRPr="003A73F9" w:rsidRDefault="00CC0764" w:rsidP="008239C2">
      <w:pPr>
        <w:pStyle w:val="Footer"/>
        <w:spacing w:after="0" w:line="240" w:lineRule="auto"/>
        <w:ind w:left="360"/>
        <w:jc w:val="center"/>
        <w:rPr>
          <w:rFonts w:ascii="Calibri" w:hAnsi="Calibri"/>
          <w:b/>
          <w:sz w:val="32"/>
          <w:szCs w:val="28"/>
        </w:rPr>
      </w:pPr>
    </w:p>
    <w:p w:rsidR="00CC0764" w:rsidRPr="003A73F9" w:rsidRDefault="00CC0764" w:rsidP="008239C2">
      <w:pPr>
        <w:pStyle w:val="Footer"/>
        <w:spacing w:after="0" w:line="240" w:lineRule="auto"/>
        <w:ind w:left="360"/>
        <w:jc w:val="center"/>
        <w:rPr>
          <w:rFonts w:ascii="Calibri" w:hAnsi="Calibri"/>
          <w:b/>
          <w:color w:val="1F497D" w:themeColor="text2"/>
          <w:sz w:val="32"/>
          <w:szCs w:val="28"/>
        </w:rPr>
      </w:pPr>
      <w:r w:rsidRPr="003A73F9">
        <w:rPr>
          <w:rFonts w:ascii="Calibri" w:hAnsi="Calibri"/>
          <w:b/>
          <w:sz w:val="32"/>
          <w:szCs w:val="28"/>
        </w:rPr>
        <w:t>19 March 2020</w:t>
      </w:r>
    </w:p>
    <w:p w:rsidR="00097D59" w:rsidRDefault="00097D59" w:rsidP="008239C2">
      <w:pPr>
        <w:pStyle w:val="Footer"/>
        <w:spacing w:after="0" w:line="240" w:lineRule="auto"/>
        <w:ind w:left="360"/>
        <w:jc w:val="both"/>
        <w:rPr>
          <w:rFonts w:ascii="Calibri" w:hAnsi="Calibri"/>
          <w:sz w:val="24"/>
          <w:szCs w:val="24"/>
        </w:rPr>
      </w:pPr>
    </w:p>
    <w:p w:rsidR="008239C2" w:rsidRDefault="008239C2" w:rsidP="008239C2">
      <w:pPr>
        <w:pStyle w:val="Footer"/>
        <w:spacing w:after="0" w:line="240" w:lineRule="auto"/>
        <w:ind w:left="360"/>
        <w:jc w:val="both"/>
        <w:rPr>
          <w:rFonts w:ascii="Calibri" w:hAnsi="Calibri"/>
          <w:sz w:val="24"/>
          <w:szCs w:val="24"/>
        </w:rPr>
      </w:pPr>
    </w:p>
    <w:p w:rsidR="009B49B5" w:rsidRPr="003A73F9" w:rsidRDefault="008239C2" w:rsidP="003A73F9">
      <w:pPr>
        <w:pStyle w:val="ListParagraph"/>
        <w:numPr>
          <w:ilvl w:val="0"/>
          <w:numId w:val="3"/>
        </w:numPr>
        <w:spacing w:line="256" w:lineRule="auto"/>
        <w:jc w:val="both"/>
        <w:rPr>
          <w:rFonts w:cs="Open Sans Light"/>
          <w:color w:val="000000" w:themeColor="text1"/>
          <w:sz w:val="24"/>
        </w:rPr>
      </w:pPr>
      <w:r w:rsidRPr="003A73F9">
        <w:rPr>
          <w:sz w:val="28"/>
          <w:szCs w:val="24"/>
        </w:rPr>
        <w:t xml:space="preserve">The Irish Congress of Trade Unions (ICTU) is calling on the Government to establish a </w:t>
      </w:r>
      <w:r w:rsidR="00334B37" w:rsidRPr="003A73F9">
        <w:rPr>
          <w:b/>
          <w:sz w:val="28"/>
          <w:szCs w:val="24"/>
        </w:rPr>
        <w:t xml:space="preserve">temporary </w:t>
      </w:r>
      <w:r w:rsidR="001C685E" w:rsidRPr="003A73F9">
        <w:rPr>
          <w:b/>
          <w:sz w:val="28"/>
          <w:szCs w:val="24"/>
        </w:rPr>
        <w:t>wage</w:t>
      </w:r>
      <w:r w:rsidR="00334B37" w:rsidRPr="003A73F9">
        <w:rPr>
          <w:b/>
          <w:sz w:val="28"/>
          <w:szCs w:val="24"/>
        </w:rPr>
        <w:t xml:space="preserve"> compensation scheme</w:t>
      </w:r>
      <w:r w:rsidR="0038584E">
        <w:rPr>
          <w:sz w:val="28"/>
          <w:szCs w:val="24"/>
        </w:rPr>
        <w:t xml:space="preserve"> in response to the Covid-</w:t>
      </w:r>
      <w:r w:rsidR="002C3F64" w:rsidRPr="003A73F9">
        <w:rPr>
          <w:sz w:val="28"/>
          <w:szCs w:val="24"/>
        </w:rPr>
        <w:t xml:space="preserve">19 outbreak. </w:t>
      </w:r>
    </w:p>
    <w:p w:rsidR="009B49B5" w:rsidRPr="003A73F9" w:rsidRDefault="009B49B5" w:rsidP="009B49B5">
      <w:pPr>
        <w:pStyle w:val="ListParagraph"/>
        <w:numPr>
          <w:ilvl w:val="0"/>
          <w:numId w:val="3"/>
        </w:numPr>
        <w:spacing w:line="256" w:lineRule="auto"/>
        <w:jc w:val="both"/>
        <w:rPr>
          <w:rFonts w:cs="Open Sans Light"/>
          <w:color w:val="000000" w:themeColor="text1"/>
          <w:sz w:val="28"/>
        </w:rPr>
      </w:pPr>
      <w:r w:rsidRPr="003A73F9">
        <w:rPr>
          <w:rFonts w:cs="Open Sans Light"/>
          <w:color w:val="000000" w:themeColor="text1"/>
          <w:sz w:val="28"/>
        </w:rPr>
        <w:t>In any recession, maintaining employment contracts between employers and employees is the most important factor in ensuring any labour market recovery.</w:t>
      </w:r>
    </w:p>
    <w:p w:rsidR="009B49B5" w:rsidRPr="003A73F9" w:rsidRDefault="009B49B5" w:rsidP="009B49B5">
      <w:pPr>
        <w:pStyle w:val="ListParagraph"/>
        <w:numPr>
          <w:ilvl w:val="0"/>
          <w:numId w:val="3"/>
        </w:numPr>
        <w:spacing w:line="256" w:lineRule="auto"/>
        <w:jc w:val="both"/>
        <w:rPr>
          <w:rFonts w:cs="Open Sans Light"/>
          <w:color w:val="000000" w:themeColor="text1"/>
          <w:sz w:val="28"/>
        </w:rPr>
      </w:pPr>
      <w:r w:rsidRPr="003A73F9">
        <w:rPr>
          <w:rFonts w:cs="Open Sans Light"/>
          <w:color w:val="000000" w:themeColor="text1"/>
          <w:sz w:val="28"/>
        </w:rPr>
        <w:t xml:space="preserve">Employees facing substantial or total wage loss during this crisis need support and the evidence is clear that when such support is provided through their employer, these employees experience significantly improved employment outcomes post-crisis and beyond. </w:t>
      </w:r>
    </w:p>
    <w:p w:rsidR="009B49B5" w:rsidRPr="003A73F9" w:rsidRDefault="009B49B5" w:rsidP="009B49B5">
      <w:pPr>
        <w:pStyle w:val="ListParagraph"/>
        <w:numPr>
          <w:ilvl w:val="0"/>
          <w:numId w:val="3"/>
        </w:numPr>
        <w:spacing w:line="256" w:lineRule="auto"/>
        <w:jc w:val="both"/>
        <w:rPr>
          <w:rFonts w:cs="Open Sans Light"/>
          <w:color w:val="000000" w:themeColor="text1"/>
          <w:sz w:val="28"/>
        </w:rPr>
      </w:pPr>
      <w:r w:rsidRPr="003A73F9">
        <w:rPr>
          <w:rFonts w:cs="Open Sans Light"/>
          <w:color w:val="000000" w:themeColor="text1"/>
          <w:sz w:val="28"/>
        </w:rPr>
        <w:t xml:space="preserve">Without support, employees face the prospect of unemployment and will require the support of the state benefits system. Similarly, employers will face labour and skills delays and shortages as they attempt to readjust post-crisis. </w:t>
      </w:r>
    </w:p>
    <w:p w:rsidR="009B49B5" w:rsidRPr="003A73F9" w:rsidRDefault="009B49B5" w:rsidP="009B49B5">
      <w:pPr>
        <w:pStyle w:val="ListParagraph"/>
        <w:numPr>
          <w:ilvl w:val="0"/>
          <w:numId w:val="3"/>
        </w:numPr>
        <w:spacing w:line="256" w:lineRule="auto"/>
        <w:jc w:val="both"/>
        <w:rPr>
          <w:rFonts w:cs="Open Sans Light"/>
          <w:color w:val="000000" w:themeColor="text1"/>
          <w:sz w:val="28"/>
        </w:rPr>
      </w:pPr>
      <w:r w:rsidRPr="003A73F9">
        <w:rPr>
          <w:rFonts w:cs="Open Sans Light"/>
          <w:color w:val="000000" w:themeColor="text1"/>
          <w:sz w:val="28"/>
        </w:rPr>
        <w:t>A scheme agreed between employers, trade unions and government in Denmark provides a template for how such income support can</w:t>
      </w:r>
      <w:r w:rsidR="001F71CB" w:rsidRPr="003A73F9">
        <w:rPr>
          <w:rFonts w:cs="Open Sans Light"/>
          <w:color w:val="000000" w:themeColor="text1"/>
          <w:sz w:val="28"/>
        </w:rPr>
        <w:t xml:space="preserve"> be supported by labour market stakeholders.</w:t>
      </w:r>
      <w:r w:rsidRPr="003A73F9">
        <w:rPr>
          <w:rFonts w:cs="Open Sans Light"/>
          <w:color w:val="000000" w:themeColor="text1"/>
          <w:sz w:val="28"/>
        </w:rPr>
        <w:t xml:space="preserve"> </w:t>
      </w:r>
    </w:p>
    <w:p w:rsidR="0072177D" w:rsidRDefault="009B49B5" w:rsidP="0072177D">
      <w:pPr>
        <w:pStyle w:val="ListParagraph"/>
        <w:numPr>
          <w:ilvl w:val="0"/>
          <w:numId w:val="3"/>
        </w:numPr>
        <w:spacing w:line="256" w:lineRule="auto"/>
        <w:jc w:val="both"/>
        <w:rPr>
          <w:rFonts w:cs="Open Sans Light"/>
          <w:color w:val="000000" w:themeColor="text1"/>
          <w:sz w:val="32"/>
        </w:rPr>
      </w:pPr>
      <w:r w:rsidRPr="003A73F9">
        <w:rPr>
          <w:rFonts w:cs="Open Sans Light"/>
          <w:color w:val="000000" w:themeColor="text1"/>
          <w:sz w:val="28"/>
        </w:rPr>
        <w:t>For</w:t>
      </w:r>
      <w:r w:rsidR="00F95152">
        <w:rPr>
          <w:rFonts w:cs="Open Sans Light"/>
          <w:color w:val="000000" w:themeColor="text1"/>
          <w:sz w:val="28"/>
        </w:rPr>
        <w:t xml:space="preserve"> a three-month period, the Danish Government</w:t>
      </w:r>
      <w:r w:rsidRPr="003A73F9">
        <w:rPr>
          <w:rFonts w:cs="Open Sans Light"/>
          <w:color w:val="000000" w:themeColor="text1"/>
          <w:sz w:val="28"/>
        </w:rPr>
        <w:t xml:space="preserve"> has agreed to pay 75% of employees’ wages, employers have</w:t>
      </w:r>
      <w:r w:rsidR="000B2C5B" w:rsidRPr="003A73F9">
        <w:rPr>
          <w:rFonts w:cs="Open Sans Light"/>
          <w:color w:val="000000" w:themeColor="text1"/>
          <w:sz w:val="28"/>
        </w:rPr>
        <w:t xml:space="preserve"> agreed to pay the remaining 25% up t</w:t>
      </w:r>
      <w:r w:rsidR="001F71CB" w:rsidRPr="003A73F9">
        <w:rPr>
          <w:rFonts w:cs="Open Sans Light"/>
          <w:color w:val="000000" w:themeColor="text1"/>
          <w:sz w:val="28"/>
        </w:rPr>
        <w:t>o a maximum of the average industrial wage rate.</w:t>
      </w:r>
      <w:r w:rsidRPr="003A73F9">
        <w:rPr>
          <w:rFonts w:cs="Open Sans Light"/>
          <w:color w:val="000000" w:themeColor="text1"/>
          <w:sz w:val="28"/>
        </w:rPr>
        <w:t xml:space="preserve"> For their part, employees have agreed to take 5 days of holidays during the crisis</w:t>
      </w:r>
      <w:r w:rsidRPr="003A73F9">
        <w:rPr>
          <w:rFonts w:cs="Open Sans Light"/>
          <w:color w:val="000000" w:themeColor="text1"/>
          <w:sz w:val="32"/>
        </w:rPr>
        <w:t xml:space="preserve">. </w:t>
      </w:r>
    </w:p>
    <w:p w:rsidR="0081656D" w:rsidRPr="0072177D" w:rsidRDefault="0081656D" w:rsidP="0072177D">
      <w:pPr>
        <w:pStyle w:val="ListParagraph"/>
        <w:numPr>
          <w:ilvl w:val="0"/>
          <w:numId w:val="3"/>
        </w:numPr>
        <w:spacing w:line="256" w:lineRule="auto"/>
        <w:jc w:val="both"/>
        <w:rPr>
          <w:rFonts w:cs="Open Sans Light"/>
          <w:color w:val="000000" w:themeColor="text1"/>
          <w:sz w:val="28"/>
        </w:rPr>
      </w:pPr>
      <w:r w:rsidRPr="0072177D">
        <w:rPr>
          <w:rFonts w:cs="Open Sans Light"/>
          <w:color w:val="000000" w:themeColor="text1"/>
          <w:sz w:val="28"/>
        </w:rPr>
        <w:t xml:space="preserve">If such a </w:t>
      </w:r>
      <w:r w:rsidR="00F95152" w:rsidRPr="0072177D">
        <w:rPr>
          <w:rFonts w:cs="Open Sans Light"/>
          <w:color w:val="000000" w:themeColor="text1"/>
          <w:sz w:val="28"/>
        </w:rPr>
        <w:t xml:space="preserve">scheme </w:t>
      </w:r>
      <w:r w:rsidRPr="0072177D">
        <w:rPr>
          <w:rFonts w:cs="Open Sans Light"/>
          <w:color w:val="000000" w:themeColor="text1"/>
          <w:sz w:val="28"/>
        </w:rPr>
        <w:t>was introduced in Ireland it should be</w:t>
      </w:r>
      <w:r w:rsidR="00F95152" w:rsidRPr="0072177D">
        <w:rPr>
          <w:rFonts w:cs="Open Sans Light"/>
          <w:color w:val="000000" w:themeColor="text1"/>
          <w:sz w:val="28"/>
        </w:rPr>
        <w:t xml:space="preserve"> be particularly targeted at companies </w:t>
      </w:r>
      <w:r w:rsidR="00F95152" w:rsidRPr="0072177D">
        <w:rPr>
          <w:rFonts w:cs="Open Sans Light"/>
          <w:color w:val="000000" w:themeColor="text1"/>
          <w:sz w:val="28"/>
        </w:rPr>
        <w:t xml:space="preserve">who are economically affected as a </w:t>
      </w:r>
      <w:r w:rsidRPr="0072177D">
        <w:rPr>
          <w:rFonts w:cs="Open Sans Light"/>
          <w:color w:val="000000" w:themeColor="text1"/>
          <w:sz w:val="28"/>
        </w:rPr>
        <w:t xml:space="preserve">direct </w:t>
      </w:r>
      <w:r w:rsidR="00F95152" w:rsidRPr="0072177D">
        <w:rPr>
          <w:rFonts w:cs="Open Sans Light"/>
          <w:color w:val="000000" w:themeColor="text1"/>
          <w:sz w:val="28"/>
        </w:rPr>
        <w:t>consequence of Covid-19</w:t>
      </w:r>
      <w:r w:rsidR="0072177D">
        <w:rPr>
          <w:rFonts w:cs="Open Sans Light"/>
          <w:color w:val="000000" w:themeColor="text1"/>
          <w:sz w:val="28"/>
        </w:rPr>
        <w:t>.</w:t>
      </w:r>
      <w:r w:rsidR="00F95152" w:rsidRPr="0072177D">
        <w:rPr>
          <w:rFonts w:cs="Open Sans Light"/>
          <w:color w:val="000000" w:themeColor="text1"/>
          <w:sz w:val="28"/>
        </w:rPr>
        <w:t xml:space="preserve"> </w:t>
      </w:r>
      <w:r w:rsidR="005F79BB" w:rsidRPr="0072177D">
        <w:rPr>
          <w:rFonts w:cs="Open Sans Light"/>
          <w:color w:val="000000" w:themeColor="text1"/>
          <w:sz w:val="28"/>
        </w:rPr>
        <w:t xml:space="preserve">It </w:t>
      </w:r>
      <w:r w:rsidRPr="0072177D">
        <w:rPr>
          <w:rFonts w:cs="Open Sans Light"/>
          <w:color w:val="000000" w:themeColor="text1"/>
          <w:sz w:val="28"/>
        </w:rPr>
        <w:t xml:space="preserve">would </w:t>
      </w:r>
      <w:r w:rsidR="005F79BB" w:rsidRPr="0072177D">
        <w:rPr>
          <w:rFonts w:cs="Open Sans Light"/>
          <w:color w:val="000000" w:themeColor="text1"/>
          <w:sz w:val="28"/>
        </w:rPr>
        <w:t>also appl</w:t>
      </w:r>
      <w:r w:rsidRPr="0072177D">
        <w:rPr>
          <w:rFonts w:cs="Open Sans Light"/>
          <w:color w:val="000000" w:themeColor="text1"/>
          <w:sz w:val="28"/>
        </w:rPr>
        <w:t>y</w:t>
      </w:r>
      <w:r w:rsidR="00F95152" w:rsidRPr="0072177D">
        <w:rPr>
          <w:rFonts w:cs="Open Sans Light"/>
          <w:color w:val="000000" w:themeColor="text1"/>
          <w:sz w:val="28"/>
        </w:rPr>
        <w:t xml:space="preserve"> to firms that have been instructed by government to cease trading for the duration of the crisis</w:t>
      </w:r>
      <w:r w:rsidR="00F95152" w:rsidRPr="0072177D">
        <w:rPr>
          <w:rFonts w:cs="Open Sans Light"/>
          <w:color w:val="000000" w:themeColor="text1"/>
          <w:sz w:val="28"/>
        </w:rPr>
        <w:t>.</w:t>
      </w:r>
      <w:r w:rsidR="00F95152" w:rsidRPr="0072177D">
        <w:rPr>
          <w:rFonts w:cs="Open Sans Light"/>
          <w:color w:val="000000" w:themeColor="text1"/>
          <w:sz w:val="28"/>
        </w:rPr>
        <w:t xml:space="preserve"> </w:t>
      </w:r>
      <w:r w:rsidR="00F95152" w:rsidRPr="0072177D">
        <w:rPr>
          <w:rFonts w:cs="Open Sans Light"/>
          <w:color w:val="000000" w:themeColor="text1"/>
          <w:sz w:val="28"/>
        </w:rPr>
        <w:t xml:space="preserve"> Companies</w:t>
      </w:r>
      <w:r w:rsidR="005F79BB" w:rsidRPr="0072177D">
        <w:rPr>
          <w:rFonts w:cs="Open Sans Light"/>
          <w:color w:val="000000" w:themeColor="text1"/>
          <w:sz w:val="28"/>
        </w:rPr>
        <w:t xml:space="preserve"> </w:t>
      </w:r>
      <w:r w:rsidRPr="0072177D">
        <w:rPr>
          <w:rFonts w:cs="Open Sans Light"/>
          <w:color w:val="000000" w:themeColor="text1"/>
          <w:sz w:val="28"/>
        </w:rPr>
        <w:t xml:space="preserve">would be </w:t>
      </w:r>
      <w:r w:rsidR="00F95152" w:rsidRPr="0072177D">
        <w:rPr>
          <w:rFonts w:cs="Open Sans Light"/>
          <w:color w:val="000000" w:themeColor="text1"/>
          <w:sz w:val="28"/>
        </w:rPr>
        <w:t>requ</w:t>
      </w:r>
      <w:r w:rsidR="0072177D">
        <w:rPr>
          <w:rFonts w:cs="Open Sans Light"/>
          <w:color w:val="000000" w:themeColor="text1"/>
          <w:sz w:val="28"/>
        </w:rPr>
        <w:t>ired</w:t>
      </w:r>
      <w:r w:rsidR="00F95152" w:rsidRPr="0072177D">
        <w:rPr>
          <w:rFonts w:cs="Open Sans Light"/>
          <w:color w:val="000000" w:themeColor="text1"/>
          <w:sz w:val="28"/>
        </w:rPr>
        <w:t xml:space="preserve"> </w:t>
      </w:r>
      <w:r w:rsidR="00F95152" w:rsidRPr="0072177D">
        <w:rPr>
          <w:rFonts w:cs="Open Sans Light"/>
          <w:color w:val="000000" w:themeColor="text1"/>
          <w:sz w:val="28"/>
        </w:rPr>
        <w:t xml:space="preserve">to </w:t>
      </w:r>
      <w:r w:rsidR="00F95152" w:rsidRPr="0072177D">
        <w:rPr>
          <w:rFonts w:cs="Open Sans Light"/>
          <w:color w:val="000000" w:themeColor="text1"/>
          <w:sz w:val="28"/>
        </w:rPr>
        <w:t>demonstrate a significant sudden reduction in turnover (e.g. as officially verified by their audited accounts/accountants</w:t>
      </w:r>
      <w:r w:rsidR="0072177D">
        <w:rPr>
          <w:rFonts w:cs="Open Sans Light"/>
          <w:color w:val="000000" w:themeColor="text1"/>
          <w:sz w:val="28"/>
        </w:rPr>
        <w:t>)</w:t>
      </w:r>
      <w:r w:rsidR="00F95152" w:rsidRPr="0072177D">
        <w:rPr>
          <w:rFonts w:cs="Open Sans Light"/>
          <w:color w:val="000000" w:themeColor="text1"/>
          <w:sz w:val="28"/>
        </w:rPr>
        <w:t xml:space="preserve"> </w:t>
      </w:r>
      <w:r w:rsidRPr="0072177D">
        <w:rPr>
          <w:rFonts w:cs="Open Sans Light"/>
          <w:color w:val="000000" w:themeColor="text1"/>
          <w:sz w:val="28"/>
        </w:rPr>
        <w:t xml:space="preserve">and </w:t>
      </w:r>
      <w:r w:rsidRPr="0072177D">
        <w:rPr>
          <w:rFonts w:cs="Open Sans Light"/>
          <w:color w:val="000000" w:themeColor="text1"/>
          <w:sz w:val="28"/>
        </w:rPr>
        <w:t xml:space="preserve">all eligible workers, i.e. </w:t>
      </w:r>
      <w:r w:rsidRPr="0072177D">
        <w:rPr>
          <w:rFonts w:cs="Open Sans Light"/>
          <w:color w:val="000000" w:themeColor="text1"/>
          <w:sz w:val="28"/>
        </w:rPr>
        <w:t>full-time, part-time, temporary wold be included.</w:t>
      </w:r>
      <w:r w:rsidRPr="0072177D">
        <w:rPr>
          <w:rFonts w:cs="Open Sans Light"/>
          <w:color w:val="000000" w:themeColor="text1"/>
          <w:sz w:val="28"/>
        </w:rPr>
        <w:t xml:space="preserve"> </w:t>
      </w:r>
    </w:p>
    <w:p w:rsidR="0081656D" w:rsidRPr="0072177D" w:rsidRDefault="0081656D" w:rsidP="0072177D">
      <w:pPr>
        <w:pStyle w:val="ListParagraph"/>
        <w:numPr>
          <w:ilvl w:val="0"/>
          <w:numId w:val="3"/>
        </w:numPr>
        <w:spacing w:line="256" w:lineRule="auto"/>
        <w:jc w:val="both"/>
        <w:rPr>
          <w:rFonts w:cs="Open Sans Light"/>
          <w:color w:val="000000" w:themeColor="text1"/>
          <w:sz w:val="28"/>
        </w:rPr>
      </w:pPr>
      <w:r w:rsidRPr="0072177D">
        <w:rPr>
          <w:rFonts w:cs="Open Sans Light"/>
          <w:color w:val="000000" w:themeColor="text1"/>
          <w:sz w:val="28"/>
        </w:rPr>
        <w:t xml:space="preserve">This scheme </w:t>
      </w:r>
      <w:r w:rsidRPr="0072177D">
        <w:rPr>
          <w:rFonts w:cs="Open Sans Light"/>
          <w:color w:val="000000" w:themeColor="text1"/>
          <w:sz w:val="28"/>
        </w:rPr>
        <w:t>would apply for a temporary period of three months</w:t>
      </w:r>
      <w:r w:rsidRPr="0072177D">
        <w:rPr>
          <w:rFonts w:cs="Open Sans Light"/>
          <w:color w:val="000000" w:themeColor="text1"/>
          <w:sz w:val="28"/>
        </w:rPr>
        <w:t xml:space="preserve"> only</w:t>
      </w:r>
      <w:r w:rsidRPr="0072177D">
        <w:rPr>
          <w:rFonts w:cs="Open Sans Light"/>
          <w:color w:val="000000" w:themeColor="text1"/>
          <w:sz w:val="28"/>
        </w:rPr>
        <w:t xml:space="preserve">. This could be extended </w:t>
      </w:r>
      <w:r w:rsidRPr="0072177D">
        <w:rPr>
          <w:rFonts w:cs="Open Sans Light"/>
          <w:color w:val="000000" w:themeColor="text1"/>
          <w:sz w:val="28"/>
        </w:rPr>
        <w:t xml:space="preserve">only </w:t>
      </w:r>
      <w:r w:rsidRPr="0072177D">
        <w:rPr>
          <w:rFonts w:cs="Open Sans Light"/>
          <w:color w:val="000000" w:themeColor="text1"/>
          <w:sz w:val="28"/>
        </w:rPr>
        <w:t>by agreement with the national</w:t>
      </w:r>
      <w:r w:rsidRPr="0072177D">
        <w:rPr>
          <w:rFonts w:cs="Open Sans Light"/>
          <w:color w:val="000000" w:themeColor="text1"/>
          <w:sz w:val="28"/>
        </w:rPr>
        <w:t xml:space="preserve"> stakeholders following consultation </w:t>
      </w:r>
      <w:r w:rsidRPr="0072177D">
        <w:rPr>
          <w:rFonts w:cs="Open Sans Light"/>
          <w:color w:val="000000" w:themeColor="text1"/>
          <w:sz w:val="28"/>
        </w:rPr>
        <w:t xml:space="preserve">or at sectoral and subsequently firm level. </w:t>
      </w:r>
    </w:p>
    <w:p w:rsidR="0081656D" w:rsidRDefault="0081656D" w:rsidP="003A73F9">
      <w:pPr>
        <w:pStyle w:val="Footer"/>
        <w:spacing w:after="0" w:line="240" w:lineRule="auto"/>
        <w:jc w:val="both"/>
        <w:rPr>
          <w:rFonts w:ascii="Calibri" w:hAnsi="Calibri"/>
          <w:sz w:val="24"/>
          <w:szCs w:val="24"/>
        </w:rPr>
      </w:pPr>
    </w:p>
    <w:p w:rsidR="00CC0764" w:rsidRPr="003A73F9" w:rsidRDefault="000B2C5B" w:rsidP="003A73F9">
      <w:pPr>
        <w:pStyle w:val="Footer"/>
        <w:spacing w:after="0" w:line="240" w:lineRule="auto"/>
        <w:jc w:val="both"/>
        <w:rPr>
          <w:sz w:val="28"/>
          <w:szCs w:val="24"/>
        </w:rPr>
      </w:pPr>
      <w:r w:rsidRPr="003A73F9">
        <w:rPr>
          <w:sz w:val="28"/>
          <w:szCs w:val="24"/>
        </w:rPr>
        <w:t xml:space="preserve">The following table illustrates how this mechanism would apply </w:t>
      </w:r>
      <w:r w:rsidR="00342DC1" w:rsidRPr="003A73F9">
        <w:rPr>
          <w:sz w:val="28"/>
          <w:szCs w:val="24"/>
        </w:rPr>
        <w:t xml:space="preserve">in Ireland </w:t>
      </w:r>
      <w:r w:rsidRPr="003A73F9">
        <w:rPr>
          <w:sz w:val="28"/>
          <w:szCs w:val="24"/>
        </w:rPr>
        <w:t>and the overall costing</w:t>
      </w:r>
      <w:r w:rsidR="00342DC1" w:rsidRPr="003A73F9">
        <w:rPr>
          <w:sz w:val="28"/>
          <w:szCs w:val="24"/>
        </w:rPr>
        <w:t>s</w:t>
      </w:r>
      <w:r w:rsidRPr="003A73F9">
        <w:rPr>
          <w:sz w:val="28"/>
          <w:szCs w:val="24"/>
        </w:rPr>
        <w:t xml:space="preserve"> involved:</w:t>
      </w:r>
    </w:p>
    <w:p w:rsidR="003A73F9" w:rsidRPr="003A73F9" w:rsidRDefault="003A73F9" w:rsidP="008239C2">
      <w:pPr>
        <w:pStyle w:val="Footer"/>
        <w:spacing w:after="0" w:line="240" w:lineRule="auto"/>
        <w:ind w:left="36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3A73F9" w:rsidRPr="003A73F9" w:rsidTr="003A73F9">
        <w:trPr>
          <w:jc w:val="center"/>
        </w:trPr>
        <w:tc>
          <w:tcPr>
            <w:tcW w:w="2310" w:type="dxa"/>
            <w:tcBorders>
              <w:top w:val="single" w:sz="8" w:space="0" w:color="auto"/>
              <w:lef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Annual gross wage</w:t>
            </w:r>
          </w:p>
        </w:tc>
        <w:tc>
          <w:tcPr>
            <w:tcW w:w="2310" w:type="dxa"/>
            <w:tcBorders>
              <w:top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€40,000</w:t>
            </w:r>
          </w:p>
        </w:tc>
        <w:tc>
          <w:tcPr>
            <w:tcW w:w="2311" w:type="dxa"/>
            <w:tcBorders>
              <w:top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Gross weekly wage</w:t>
            </w:r>
          </w:p>
        </w:tc>
        <w:tc>
          <w:tcPr>
            <w:tcW w:w="2311" w:type="dxa"/>
            <w:tcBorders>
              <w:top w:val="single" w:sz="8" w:space="0" w:color="auto"/>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€767.75</w:t>
            </w:r>
          </w:p>
        </w:tc>
      </w:tr>
      <w:tr w:rsidR="003A73F9" w:rsidRPr="003A73F9" w:rsidTr="003A73F9">
        <w:trPr>
          <w:jc w:val="center"/>
        </w:trPr>
        <w:tc>
          <w:tcPr>
            <w:tcW w:w="2310" w:type="dxa"/>
            <w:tcBorders>
              <w:left w:val="single" w:sz="8" w:space="0" w:color="auto"/>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Weekly tax and PRSI</w:t>
            </w:r>
          </w:p>
        </w:tc>
        <w:tc>
          <w:tcPr>
            <w:tcW w:w="2310" w:type="dxa"/>
            <w:tcBorders>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€159.75</w:t>
            </w:r>
          </w:p>
        </w:tc>
        <w:tc>
          <w:tcPr>
            <w:tcW w:w="2311" w:type="dxa"/>
            <w:tcBorders>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Net weekly wage</w:t>
            </w:r>
          </w:p>
        </w:tc>
        <w:tc>
          <w:tcPr>
            <w:tcW w:w="2311" w:type="dxa"/>
            <w:tcBorders>
              <w:bottom w:val="single" w:sz="8" w:space="0" w:color="auto"/>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€608.00</w:t>
            </w:r>
          </w:p>
        </w:tc>
      </w:tr>
      <w:tr w:rsidR="003A73F9" w:rsidRPr="003A73F9" w:rsidTr="003A73F9">
        <w:trPr>
          <w:trHeight w:val="1197"/>
          <w:jc w:val="center"/>
        </w:trPr>
        <w:tc>
          <w:tcPr>
            <w:tcW w:w="2310" w:type="dxa"/>
            <w:tcBorders>
              <w:top w:val="single" w:sz="8" w:space="0" w:color="auto"/>
              <w:lef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75% government contribution to employment income (annualised)</w:t>
            </w:r>
          </w:p>
        </w:tc>
        <w:tc>
          <w:tcPr>
            <w:tcW w:w="2310" w:type="dxa"/>
            <w:tcBorders>
              <w:top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€30,000</w:t>
            </w:r>
          </w:p>
        </w:tc>
        <w:tc>
          <w:tcPr>
            <w:tcW w:w="2311" w:type="dxa"/>
            <w:tcBorders>
              <w:top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Weekly government contribution to employment income</w:t>
            </w:r>
          </w:p>
        </w:tc>
        <w:tc>
          <w:tcPr>
            <w:tcW w:w="2311" w:type="dxa"/>
            <w:tcBorders>
              <w:top w:val="single" w:sz="8" w:space="0" w:color="auto"/>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€575.82</w:t>
            </w:r>
          </w:p>
        </w:tc>
      </w:tr>
      <w:tr w:rsidR="003A73F9" w:rsidRPr="003A73F9" w:rsidTr="003A73F9">
        <w:trPr>
          <w:jc w:val="center"/>
        </w:trPr>
        <w:tc>
          <w:tcPr>
            <w:tcW w:w="2310" w:type="dxa"/>
            <w:tcBorders>
              <w:left w:val="single" w:sz="8" w:space="0" w:color="auto"/>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p>
        </w:tc>
        <w:tc>
          <w:tcPr>
            <w:tcW w:w="2310" w:type="dxa"/>
            <w:tcBorders>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p>
        </w:tc>
        <w:tc>
          <w:tcPr>
            <w:tcW w:w="2311" w:type="dxa"/>
            <w:tcBorders>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Weekly government contribution minus weekly tax and PRSI for a worker on €40,000</w:t>
            </w:r>
          </w:p>
        </w:tc>
        <w:tc>
          <w:tcPr>
            <w:tcW w:w="2311" w:type="dxa"/>
            <w:tcBorders>
              <w:bottom w:val="single" w:sz="8" w:space="0" w:color="auto"/>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€416.07</w:t>
            </w:r>
          </w:p>
        </w:tc>
      </w:tr>
      <w:tr w:rsidR="003A73F9" w:rsidRPr="003A73F9" w:rsidTr="003A73F9">
        <w:trPr>
          <w:jc w:val="center"/>
        </w:trPr>
        <w:tc>
          <w:tcPr>
            <w:tcW w:w="2310" w:type="dxa"/>
            <w:tcBorders>
              <w:top w:val="single" w:sz="8" w:space="0" w:color="auto"/>
              <w:left w:val="single" w:sz="8" w:space="0" w:color="auto"/>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25% employer contribution to employment income (annualised)</w:t>
            </w:r>
          </w:p>
        </w:tc>
        <w:tc>
          <w:tcPr>
            <w:tcW w:w="2310" w:type="dxa"/>
            <w:tcBorders>
              <w:top w:val="single" w:sz="8" w:space="0" w:color="auto"/>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€10,000</w:t>
            </w:r>
          </w:p>
        </w:tc>
        <w:tc>
          <w:tcPr>
            <w:tcW w:w="2311" w:type="dxa"/>
            <w:tcBorders>
              <w:top w:val="single" w:sz="8" w:space="0" w:color="auto"/>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Weekly employer contribution to employment income</w:t>
            </w:r>
          </w:p>
        </w:tc>
        <w:tc>
          <w:tcPr>
            <w:tcW w:w="2311" w:type="dxa"/>
            <w:tcBorders>
              <w:top w:val="single" w:sz="8" w:space="0" w:color="auto"/>
              <w:bottom w:val="single" w:sz="8" w:space="0" w:color="auto"/>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€191.64</w:t>
            </w:r>
          </w:p>
        </w:tc>
      </w:tr>
      <w:tr w:rsidR="003A73F9" w:rsidRPr="003A73F9" w:rsidTr="003A73F9">
        <w:trPr>
          <w:jc w:val="center"/>
        </w:trPr>
        <w:tc>
          <w:tcPr>
            <w:tcW w:w="2310" w:type="dxa"/>
            <w:tcBorders>
              <w:top w:val="single" w:sz="8" w:space="0" w:color="auto"/>
              <w:lef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Social welfare</w:t>
            </w:r>
          </w:p>
        </w:tc>
        <w:tc>
          <w:tcPr>
            <w:tcW w:w="2310" w:type="dxa"/>
            <w:tcBorders>
              <w:top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€203.00</w:t>
            </w:r>
          </w:p>
        </w:tc>
        <w:tc>
          <w:tcPr>
            <w:tcW w:w="2311" w:type="dxa"/>
            <w:tcBorders>
              <w:top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p>
        </w:tc>
        <w:tc>
          <w:tcPr>
            <w:tcW w:w="2311" w:type="dxa"/>
            <w:tcBorders>
              <w:top w:val="single" w:sz="8" w:space="0" w:color="auto"/>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p>
        </w:tc>
      </w:tr>
      <w:tr w:rsidR="003A73F9" w:rsidRPr="003A73F9" w:rsidTr="003A73F9">
        <w:trPr>
          <w:jc w:val="center"/>
        </w:trPr>
        <w:tc>
          <w:tcPr>
            <w:tcW w:w="2310" w:type="dxa"/>
            <w:tcBorders>
              <w:lef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Weekly contribution minus tax/PRSI and social welfare</w:t>
            </w:r>
          </w:p>
        </w:tc>
        <w:tc>
          <w:tcPr>
            <w:tcW w:w="2310" w:type="dxa"/>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€213.07</w:t>
            </w:r>
          </w:p>
        </w:tc>
        <w:tc>
          <w:tcPr>
            <w:tcW w:w="2311" w:type="dxa"/>
            <w:shd w:val="clear" w:color="auto" w:fill="DAEEF3" w:themeFill="accent5" w:themeFillTint="33"/>
          </w:tcPr>
          <w:p w:rsidR="003A73F9" w:rsidRPr="003A73F9" w:rsidRDefault="003A73F9" w:rsidP="003E12E9">
            <w:pPr>
              <w:spacing w:after="0" w:line="240" w:lineRule="auto"/>
              <w:rPr>
                <w:sz w:val="24"/>
                <w:szCs w:val="24"/>
              </w:rPr>
            </w:pPr>
          </w:p>
        </w:tc>
        <w:tc>
          <w:tcPr>
            <w:tcW w:w="2311" w:type="dxa"/>
            <w:tcBorders>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p>
        </w:tc>
      </w:tr>
      <w:tr w:rsidR="003A73F9" w:rsidRPr="003A73F9" w:rsidTr="003A73F9">
        <w:trPr>
          <w:jc w:val="center"/>
        </w:trPr>
        <w:tc>
          <w:tcPr>
            <w:tcW w:w="2310" w:type="dxa"/>
            <w:tcBorders>
              <w:lef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Government contribution minus tax/PRSI and social welfare (12 weeks)</w:t>
            </w:r>
          </w:p>
        </w:tc>
        <w:tc>
          <w:tcPr>
            <w:tcW w:w="2310" w:type="dxa"/>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€2556.84</w:t>
            </w:r>
          </w:p>
        </w:tc>
        <w:tc>
          <w:tcPr>
            <w:tcW w:w="2311" w:type="dxa"/>
            <w:shd w:val="clear" w:color="auto" w:fill="DAEEF3" w:themeFill="accent5" w:themeFillTint="33"/>
          </w:tcPr>
          <w:p w:rsidR="003A73F9" w:rsidRPr="003A73F9" w:rsidRDefault="003A73F9" w:rsidP="003E12E9">
            <w:pPr>
              <w:spacing w:after="0" w:line="240" w:lineRule="auto"/>
              <w:rPr>
                <w:sz w:val="24"/>
                <w:szCs w:val="24"/>
              </w:rPr>
            </w:pPr>
          </w:p>
        </w:tc>
        <w:tc>
          <w:tcPr>
            <w:tcW w:w="2311" w:type="dxa"/>
            <w:tcBorders>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p>
        </w:tc>
      </w:tr>
      <w:tr w:rsidR="003A73F9" w:rsidRPr="003A73F9" w:rsidTr="003A73F9">
        <w:trPr>
          <w:trHeight w:val="420"/>
          <w:jc w:val="center"/>
        </w:trPr>
        <w:tc>
          <w:tcPr>
            <w:tcW w:w="2310" w:type="dxa"/>
            <w:tcBorders>
              <w:left w:val="single" w:sz="8" w:space="0" w:color="auto"/>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Scaled to 350,000 workers</w:t>
            </w:r>
          </w:p>
        </w:tc>
        <w:tc>
          <w:tcPr>
            <w:tcW w:w="2310" w:type="dxa"/>
            <w:tcBorders>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€894.89 million</w:t>
            </w:r>
          </w:p>
        </w:tc>
        <w:tc>
          <w:tcPr>
            <w:tcW w:w="2311" w:type="dxa"/>
            <w:tcBorders>
              <w:bottom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Gross cost</w:t>
            </w:r>
          </w:p>
        </w:tc>
        <w:tc>
          <w:tcPr>
            <w:tcW w:w="2311" w:type="dxa"/>
            <w:tcBorders>
              <w:bottom w:val="single" w:sz="8" w:space="0" w:color="auto"/>
              <w:right w:val="single" w:sz="8" w:space="0" w:color="auto"/>
            </w:tcBorders>
            <w:shd w:val="clear" w:color="auto" w:fill="DAEEF3" w:themeFill="accent5" w:themeFillTint="33"/>
          </w:tcPr>
          <w:p w:rsidR="003A73F9" w:rsidRPr="003A73F9" w:rsidRDefault="003A73F9" w:rsidP="003E12E9">
            <w:pPr>
              <w:spacing w:after="0" w:line="240" w:lineRule="auto"/>
              <w:rPr>
                <w:sz w:val="24"/>
                <w:szCs w:val="24"/>
              </w:rPr>
            </w:pPr>
            <w:r w:rsidRPr="003A73F9">
              <w:rPr>
                <w:sz w:val="24"/>
                <w:szCs w:val="24"/>
              </w:rPr>
              <w:t>€1.75 billion</w:t>
            </w:r>
          </w:p>
        </w:tc>
      </w:tr>
    </w:tbl>
    <w:p w:rsidR="003A73F9" w:rsidRDefault="003A73F9" w:rsidP="008239C2">
      <w:pPr>
        <w:pStyle w:val="Footer"/>
        <w:spacing w:after="0" w:line="240" w:lineRule="auto"/>
        <w:ind w:left="360"/>
        <w:jc w:val="both"/>
        <w:rPr>
          <w:rFonts w:ascii="Calibri" w:hAnsi="Calibri"/>
          <w:sz w:val="24"/>
          <w:szCs w:val="24"/>
        </w:rPr>
      </w:pPr>
    </w:p>
    <w:p w:rsidR="000B2C5B" w:rsidRDefault="000B2C5B" w:rsidP="008239C2">
      <w:pPr>
        <w:pStyle w:val="Footer"/>
        <w:spacing w:after="0" w:line="240" w:lineRule="auto"/>
        <w:ind w:left="360"/>
        <w:jc w:val="both"/>
        <w:rPr>
          <w:rFonts w:ascii="Calibri" w:hAnsi="Calibri"/>
          <w:sz w:val="24"/>
          <w:szCs w:val="24"/>
        </w:rPr>
      </w:pPr>
    </w:p>
    <w:p w:rsidR="000B2C5B" w:rsidRDefault="000B2C5B" w:rsidP="008239C2">
      <w:pPr>
        <w:pStyle w:val="Footer"/>
        <w:spacing w:after="0" w:line="240" w:lineRule="auto"/>
        <w:ind w:left="360"/>
        <w:jc w:val="both"/>
        <w:rPr>
          <w:rFonts w:ascii="Calibri" w:hAnsi="Calibri"/>
          <w:sz w:val="24"/>
          <w:szCs w:val="24"/>
        </w:rPr>
      </w:pPr>
    </w:p>
    <w:p w:rsidR="00342DC1" w:rsidRPr="000464D7" w:rsidRDefault="00342DC1" w:rsidP="000464D7">
      <w:pPr>
        <w:jc w:val="both"/>
        <w:rPr>
          <w:rFonts w:cs="Open Sans Light"/>
          <w:b/>
          <w:color w:val="4F81BD" w:themeColor="accent1"/>
          <w:sz w:val="28"/>
          <w:szCs w:val="24"/>
        </w:rPr>
      </w:pPr>
      <w:r w:rsidRPr="000464D7">
        <w:rPr>
          <w:rFonts w:cs="Open Sans Light"/>
          <w:b/>
          <w:color w:val="4F81BD" w:themeColor="accent1"/>
          <w:sz w:val="28"/>
          <w:szCs w:val="24"/>
        </w:rPr>
        <w:t>Mechanism for Payment</w:t>
      </w:r>
    </w:p>
    <w:p w:rsidR="00342DC1" w:rsidRPr="00342DC1" w:rsidRDefault="00342DC1" w:rsidP="00F95152">
      <w:pPr>
        <w:jc w:val="both"/>
        <w:rPr>
          <w:rFonts w:ascii="Open Sans Light" w:hAnsi="Open Sans Light" w:cs="Open Sans Light"/>
          <w:b/>
        </w:rPr>
      </w:pPr>
      <w:r w:rsidRPr="00F95152">
        <w:rPr>
          <w:sz w:val="28"/>
          <w:szCs w:val="24"/>
        </w:rPr>
        <w:t>The Maternity Protection (Amendment) Act</w:t>
      </w:r>
      <w:r w:rsidR="002C6688" w:rsidRPr="00F95152">
        <w:rPr>
          <w:sz w:val="28"/>
          <w:szCs w:val="24"/>
        </w:rPr>
        <w:t>s 1994-2004 facilitates an employer paying the employee their full pay while the employee Maternity benefit due is rebated directly to the employer by the Department of Social Protection</w:t>
      </w:r>
      <w:r w:rsidR="002C6688">
        <w:rPr>
          <w:rFonts w:ascii="Open Sans Light" w:hAnsi="Open Sans Light" w:cs="Open Sans Light"/>
          <w:b/>
        </w:rPr>
        <w:t>.</w:t>
      </w:r>
      <w:r w:rsidR="005F79BB">
        <w:rPr>
          <w:rFonts w:ascii="Open Sans Light" w:hAnsi="Open Sans Light" w:cs="Open Sans Light"/>
          <w:b/>
        </w:rPr>
        <w:t xml:space="preserve">  </w:t>
      </w:r>
      <w:r w:rsidR="005F79BB" w:rsidRPr="000464D7">
        <w:rPr>
          <w:sz w:val="28"/>
          <w:szCs w:val="24"/>
        </w:rPr>
        <w:t>In our view this co</w:t>
      </w:r>
      <w:r w:rsidR="000715FF" w:rsidRPr="000464D7">
        <w:rPr>
          <w:sz w:val="28"/>
          <w:szCs w:val="24"/>
        </w:rPr>
        <w:t>u</w:t>
      </w:r>
      <w:r w:rsidR="005F79BB" w:rsidRPr="000464D7">
        <w:rPr>
          <w:sz w:val="28"/>
          <w:szCs w:val="24"/>
        </w:rPr>
        <w:t xml:space="preserve">ld </w:t>
      </w:r>
      <w:r w:rsidR="000715FF" w:rsidRPr="000464D7">
        <w:rPr>
          <w:sz w:val="28"/>
          <w:szCs w:val="24"/>
        </w:rPr>
        <w:t xml:space="preserve">be </w:t>
      </w:r>
      <w:r w:rsidR="005F79BB" w:rsidRPr="000464D7">
        <w:rPr>
          <w:sz w:val="28"/>
          <w:szCs w:val="24"/>
        </w:rPr>
        <w:t xml:space="preserve">replicated for </w:t>
      </w:r>
      <w:r w:rsidR="000715FF" w:rsidRPr="000464D7">
        <w:rPr>
          <w:sz w:val="28"/>
          <w:szCs w:val="24"/>
        </w:rPr>
        <w:t xml:space="preserve">the administration of </w:t>
      </w:r>
      <w:r w:rsidR="005F79BB" w:rsidRPr="000464D7">
        <w:rPr>
          <w:sz w:val="28"/>
          <w:szCs w:val="24"/>
        </w:rPr>
        <w:t xml:space="preserve">such a </w:t>
      </w:r>
      <w:r w:rsidR="000715FF" w:rsidRPr="000464D7">
        <w:rPr>
          <w:sz w:val="28"/>
          <w:szCs w:val="24"/>
        </w:rPr>
        <w:t>‘</w:t>
      </w:r>
      <w:r w:rsidR="005F79BB" w:rsidRPr="000464D7">
        <w:rPr>
          <w:sz w:val="28"/>
          <w:szCs w:val="24"/>
        </w:rPr>
        <w:t>Temporary Compensation Scheme.</w:t>
      </w:r>
      <w:r w:rsidR="000715FF" w:rsidRPr="000464D7">
        <w:rPr>
          <w:sz w:val="28"/>
          <w:szCs w:val="24"/>
        </w:rPr>
        <w:t>’</w:t>
      </w:r>
    </w:p>
    <w:p w:rsidR="00342DC1" w:rsidRPr="000464D7" w:rsidRDefault="00342DC1" w:rsidP="00342DC1">
      <w:pPr>
        <w:jc w:val="both"/>
        <w:rPr>
          <w:rFonts w:cs="Open Sans Light"/>
          <w:b/>
          <w:color w:val="4F81BD" w:themeColor="accent1"/>
          <w:sz w:val="28"/>
          <w:szCs w:val="24"/>
        </w:rPr>
      </w:pPr>
      <w:r w:rsidRPr="000464D7">
        <w:rPr>
          <w:rFonts w:cs="Open Sans Light"/>
          <w:b/>
          <w:color w:val="4F81BD" w:themeColor="accent1"/>
          <w:sz w:val="28"/>
          <w:szCs w:val="24"/>
        </w:rPr>
        <w:t>Conclusion</w:t>
      </w:r>
    </w:p>
    <w:p w:rsidR="00342DC1" w:rsidRPr="000464D7" w:rsidRDefault="00342DC1" w:rsidP="00342DC1">
      <w:pPr>
        <w:pStyle w:val="ListParagraph"/>
        <w:numPr>
          <w:ilvl w:val="0"/>
          <w:numId w:val="4"/>
        </w:numPr>
        <w:spacing w:line="256" w:lineRule="auto"/>
        <w:jc w:val="both"/>
        <w:rPr>
          <w:sz w:val="28"/>
          <w:szCs w:val="24"/>
        </w:rPr>
      </w:pPr>
      <w:r w:rsidRPr="000464D7">
        <w:rPr>
          <w:rFonts w:cs="Open Sans Light"/>
          <w:sz w:val="28"/>
          <w:szCs w:val="24"/>
        </w:rPr>
        <w:t xml:space="preserve">As set out earlier, when economies experience recession, schemes that maintain employee-employer relationships are most conducive to labour market recoveries. </w:t>
      </w:r>
    </w:p>
    <w:p w:rsidR="00342DC1" w:rsidRPr="000464D7" w:rsidRDefault="00342DC1" w:rsidP="00342DC1">
      <w:pPr>
        <w:pStyle w:val="ListParagraph"/>
        <w:numPr>
          <w:ilvl w:val="0"/>
          <w:numId w:val="4"/>
        </w:numPr>
        <w:spacing w:line="256" w:lineRule="auto"/>
        <w:jc w:val="both"/>
        <w:rPr>
          <w:sz w:val="28"/>
          <w:szCs w:val="24"/>
        </w:rPr>
      </w:pPr>
      <w:r w:rsidRPr="000464D7">
        <w:rPr>
          <w:rFonts w:cs="Open Sans Light"/>
          <w:sz w:val="28"/>
          <w:szCs w:val="24"/>
        </w:rPr>
        <w:t xml:space="preserve">As we expect this disruption to be short-lived, exposing the state benefit system to a significant and rapid influx of applicants is not desirable. </w:t>
      </w:r>
    </w:p>
    <w:p w:rsidR="008239C2" w:rsidRPr="000464D7" w:rsidRDefault="00342DC1" w:rsidP="000464D7">
      <w:pPr>
        <w:pStyle w:val="ListParagraph"/>
        <w:numPr>
          <w:ilvl w:val="0"/>
          <w:numId w:val="4"/>
        </w:numPr>
        <w:spacing w:line="256" w:lineRule="auto"/>
        <w:jc w:val="both"/>
        <w:rPr>
          <w:sz w:val="28"/>
          <w:szCs w:val="24"/>
        </w:rPr>
      </w:pPr>
      <w:r w:rsidRPr="000464D7">
        <w:rPr>
          <w:rFonts w:cs="Open Sans Light"/>
          <w:sz w:val="28"/>
          <w:szCs w:val="24"/>
        </w:rPr>
        <w:t xml:space="preserve">A scheme such as that outlined above represents a significant commitment by the </w:t>
      </w:r>
      <w:r w:rsidR="00F95152" w:rsidRPr="000464D7">
        <w:rPr>
          <w:rFonts w:cs="Open Sans Light"/>
          <w:sz w:val="28"/>
          <w:szCs w:val="24"/>
        </w:rPr>
        <w:t xml:space="preserve">Irish Government </w:t>
      </w:r>
      <w:r w:rsidRPr="000464D7">
        <w:rPr>
          <w:rFonts w:cs="Open Sans Light"/>
          <w:sz w:val="28"/>
          <w:szCs w:val="24"/>
        </w:rPr>
        <w:t>but it should be considered an investment in the pace of economic recovery that can be expected after this crisis recedes.</w:t>
      </w:r>
    </w:p>
    <w:p w:rsidR="008239C2" w:rsidRDefault="008239C2" w:rsidP="006854AC">
      <w:pPr>
        <w:pStyle w:val="Footer"/>
        <w:spacing w:after="0" w:line="240" w:lineRule="auto"/>
        <w:ind w:left="360"/>
        <w:rPr>
          <w:rFonts w:ascii="Calibri" w:hAnsi="Calibri"/>
          <w:b/>
          <w:color w:val="1F497D" w:themeColor="text2"/>
          <w:sz w:val="20"/>
          <w:szCs w:val="20"/>
        </w:rPr>
      </w:pPr>
    </w:p>
    <w:p w:rsidR="008239C2" w:rsidRDefault="008239C2" w:rsidP="006854AC">
      <w:pPr>
        <w:pStyle w:val="Footer"/>
        <w:spacing w:after="0" w:line="240" w:lineRule="auto"/>
        <w:ind w:left="360"/>
        <w:rPr>
          <w:rFonts w:ascii="Calibri" w:hAnsi="Calibri"/>
          <w:b/>
          <w:color w:val="1F497D" w:themeColor="text2"/>
          <w:sz w:val="20"/>
          <w:szCs w:val="20"/>
        </w:rPr>
      </w:pPr>
    </w:p>
    <w:p w:rsidR="008239C2" w:rsidRDefault="008239C2" w:rsidP="006854AC">
      <w:pPr>
        <w:pStyle w:val="Footer"/>
        <w:spacing w:after="0" w:line="240" w:lineRule="auto"/>
        <w:ind w:left="360"/>
        <w:rPr>
          <w:rFonts w:ascii="Calibri" w:hAnsi="Calibri"/>
          <w:b/>
          <w:color w:val="1F497D" w:themeColor="text2"/>
          <w:sz w:val="20"/>
          <w:szCs w:val="20"/>
        </w:rPr>
      </w:pPr>
    </w:p>
    <w:p w:rsidR="008239C2" w:rsidRDefault="008239C2" w:rsidP="006854AC">
      <w:pPr>
        <w:pStyle w:val="Footer"/>
        <w:spacing w:after="0" w:line="240" w:lineRule="auto"/>
        <w:ind w:left="360"/>
        <w:rPr>
          <w:rFonts w:ascii="Calibri" w:hAnsi="Calibri"/>
          <w:b/>
          <w:color w:val="1F497D" w:themeColor="text2"/>
          <w:sz w:val="20"/>
          <w:szCs w:val="20"/>
        </w:rPr>
      </w:pPr>
    </w:p>
    <w:p w:rsidR="008239C2" w:rsidRDefault="008239C2"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0464D7" w:rsidRDefault="000464D7" w:rsidP="006854AC">
      <w:pPr>
        <w:pStyle w:val="Footer"/>
        <w:spacing w:after="0" w:line="240" w:lineRule="auto"/>
        <w:ind w:left="360"/>
        <w:rPr>
          <w:rFonts w:ascii="Calibri" w:hAnsi="Calibri"/>
          <w:b/>
          <w:color w:val="1F497D" w:themeColor="text2"/>
          <w:sz w:val="20"/>
          <w:szCs w:val="20"/>
        </w:rPr>
      </w:pPr>
    </w:p>
    <w:p w:rsidR="006854AC" w:rsidRPr="006854AC" w:rsidRDefault="006854AC" w:rsidP="006854AC">
      <w:pPr>
        <w:pStyle w:val="Footer"/>
        <w:spacing w:after="0" w:line="240" w:lineRule="auto"/>
        <w:ind w:left="360"/>
        <w:rPr>
          <w:rFonts w:ascii="Calibri" w:hAnsi="Calibri"/>
          <w:b/>
          <w:color w:val="000080"/>
          <w:sz w:val="20"/>
          <w:szCs w:val="20"/>
        </w:rPr>
      </w:pPr>
      <w:r w:rsidRPr="006854AC">
        <w:rPr>
          <w:rFonts w:ascii="Calibri" w:hAnsi="Calibri"/>
          <w:b/>
          <w:color w:val="1F497D" w:themeColor="text2"/>
          <w:sz w:val="20"/>
          <w:szCs w:val="20"/>
        </w:rPr>
        <w:t>General Secretary:</w:t>
      </w:r>
      <w:r w:rsidRPr="006854AC">
        <w:rPr>
          <w:rFonts w:ascii="Calibri" w:hAnsi="Calibri"/>
          <w:b/>
          <w:color w:val="000080"/>
          <w:sz w:val="20"/>
          <w:szCs w:val="20"/>
        </w:rPr>
        <w:t xml:space="preserve">  </w:t>
      </w:r>
      <w:r w:rsidRPr="006854AC">
        <w:rPr>
          <w:rFonts w:ascii="Calibri" w:hAnsi="Calibri"/>
          <w:b/>
          <w:color w:val="CB178F"/>
          <w:sz w:val="20"/>
          <w:szCs w:val="20"/>
        </w:rPr>
        <w:t>Patricia King</w:t>
      </w:r>
      <w:r w:rsidRPr="006854AC">
        <w:rPr>
          <w:rFonts w:ascii="Calibri" w:hAnsi="Calibri"/>
          <w:b/>
          <w:color w:val="000080"/>
          <w:sz w:val="20"/>
          <w:szCs w:val="20"/>
        </w:rPr>
        <w:t xml:space="preserve"> </w:t>
      </w:r>
    </w:p>
    <w:p w:rsidR="006854AC" w:rsidRPr="006854AC" w:rsidRDefault="006854AC" w:rsidP="006854AC">
      <w:pPr>
        <w:pStyle w:val="Footer"/>
        <w:spacing w:after="0" w:line="240" w:lineRule="auto"/>
        <w:ind w:left="360"/>
        <w:rPr>
          <w:b/>
          <w:color w:val="000080"/>
          <w:sz w:val="20"/>
          <w:szCs w:val="20"/>
        </w:rPr>
      </w:pPr>
      <w:r w:rsidRPr="006854AC">
        <w:rPr>
          <w:b/>
          <w:color w:val="000080"/>
          <w:sz w:val="20"/>
          <w:szCs w:val="20"/>
        </w:rPr>
        <w:t>31-32 Parnell Square, Dublin 1, Ireland</w:t>
      </w:r>
      <w:r w:rsidRPr="006854AC">
        <w:rPr>
          <w:b/>
          <w:color w:val="000080"/>
          <w:sz w:val="20"/>
          <w:szCs w:val="20"/>
        </w:rPr>
        <w:tab/>
      </w:r>
      <w:r w:rsidRPr="006854AC">
        <w:rPr>
          <w:b/>
          <w:color w:val="000080"/>
          <w:sz w:val="20"/>
          <w:szCs w:val="20"/>
        </w:rPr>
        <w:tab/>
        <w:t xml:space="preserve">                  </w:t>
      </w:r>
      <w:r w:rsidRPr="006854AC">
        <w:rPr>
          <w:b/>
          <w:color w:val="CB178F"/>
          <w:sz w:val="20"/>
          <w:szCs w:val="20"/>
        </w:rPr>
        <w:t>Tel:</w:t>
      </w:r>
      <w:r w:rsidRPr="006854AC">
        <w:rPr>
          <w:b/>
          <w:color w:val="000080"/>
          <w:sz w:val="20"/>
          <w:szCs w:val="20"/>
        </w:rPr>
        <w:t xml:space="preserve"> +353 1 889 7777     </w:t>
      </w:r>
      <w:r w:rsidRPr="006854AC">
        <w:rPr>
          <w:b/>
          <w:color w:val="CB178F"/>
          <w:sz w:val="20"/>
          <w:szCs w:val="20"/>
        </w:rPr>
        <w:t>Fax:</w:t>
      </w:r>
      <w:r w:rsidRPr="006854AC">
        <w:rPr>
          <w:b/>
          <w:color w:val="000080"/>
          <w:sz w:val="20"/>
          <w:szCs w:val="20"/>
        </w:rPr>
        <w:t xml:space="preserve"> +353 1 887 2012</w:t>
      </w:r>
    </w:p>
    <w:p w:rsidR="006854AC" w:rsidRPr="000464D7" w:rsidRDefault="006854AC" w:rsidP="000464D7">
      <w:pPr>
        <w:pStyle w:val="Footer"/>
        <w:tabs>
          <w:tab w:val="clear" w:pos="4320"/>
          <w:tab w:val="center" w:pos="4962"/>
        </w:tabs>
        <w:spacing w:after="0" w:line="240" w:lineRule="auto"/>
        <w:ind w:left="360"/>
        <w:rPr>
          <w:b/>
          <w:color w:val="000080"/>
          <w:sz w:val="20"/>
          <w:szCs w:val="20"/>
        </w:rPr>
      </w:pPr>
      <w:r w:rsidRPr="006854AC">
        <w:rPr>
          <w:b/>
          <w:color w:val="CB178F"/>
          <w:sz w:val="20"/>
          <w:szCs w:val="20"/>
        </w:rPr>
        <w:t>Email:</w:t>
      </w:r>
      <w:r w:rsidRPr="006854AC">
        <w:rPr>
          <w:b/>
          <w:color w:val="008000"/>
          <w:sz w:val="20"/>
          <w:szCs w:val="20"/>
        </w:rPr>
        <w:t xml:space="preserve"> </w:t>
      </w:r>
      <w:hyperlink r:id="rId10" w:history="1">
        <w:r w:rsidRPr="006854AC">
          <w:rPr>
            <w:rStyle w:val="Hyperlink"/>
            <w:b/>
            <w:sz w:val="20"/>
            <w:szCs w:val="20"/>
          </w:rPr>
          <w:t>congress@ictu.ie</w:t>
        </w:r>
      </w:hyperlink>
      <w:r w:rsidRPr="006854AC">
        <w:rPr>
          <w:b/>
          <w:color w:val="008000"/>
          <w:sz w:val="20"/>
          <w:szCs w:val="20"/>
        </w:rPr>
        <w:t xml:space="preserve">  </w:t>
      </w:r>
      <w:r w:rsidRPr="006854AC">
        <w:rPr>
          <w:b/>
          <w:color w:val="CB178F"/>
          <w:sz w:val="20"/>
          <w:szCs w:val="20"/>
        </w:rPr>
        <w:t>Web:</w:t>
      </w:r>
      <w:r w:rsidRPr="006854AC">
        <w:rPr>
          <w:b/>
          <w:color w:val="DC0658"/>
          <w:sz w:val="20"/>
          <w:szCs w:val="20"/>
        </w:rPr>
        <w:t xml:space="preserve"> </w:t>
      </w:r>
      <w:hyperlink r:id="rId11" w:history="1">
        <w:r w:rsidRPr="006854AC">
          <w:rPr>
            <w:rStyle w:val="Hyperlink"/>
            <w:b/>
            <w:sz w:val="20"/>
            <w:szCs w:val="20"/>
          </w:rPr>
          <w:t>www.ictu.ie</w:t>
        </w:r>
      </w:hyperlink>
      <w:r w:rsidRPr="006854AC">
        <w:rPr>
          <w:b/>
          <w:color w:val="008000"/>
          <w:sz w:val="20"/>
          <w:szCs w:val="20"/>
        </w:rPr>
        <w:tab/>
        <w:t xml:space="preserve">             </w:t>
      </w:r>
      <w:r>
        <w:rPr>
          <w:b/>
          <w:color w:val="008000"/>
          <w:sz w:val="20"/>
          <w:szCs w:val="20"/>
        </w:rPr>
        <w:t xml:space="preserve">              </w:t>
      </w:r>
      <w:r w:rsidRPr="006854AC">
        <w:rPr>
          <w:b/>
          <w:i/>
          <w:color w:val="000080"/>
          <w:sz w:val="20"/>
          <w:szCs w:val="20"/>
        </w:rPr>
        <w:t xml:space="preserve">Affiliated to the European Trade Union Confederation </w:t>
      </w:r>
    </w:p>
    <w:sectPr w:rsidR="006854AC" w:rsidRPr="000464D7" w:rsidSect="00924A0F">
      <w:headerReference w:type="default" r:id="rId12"/>
      <w:footerReference w:type="default" r:id="rId13"/>
      <w:pgSz w:w="11906" w:h="16838" w:code="9"/>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F5" w:rsidRDefault="008A05F5">
      <w:r>
        <w:separator/>
      </w:r>
    </w:p>
  </w:endnote>
  <w:endnote w:type="continuationSeparator" w:id="0">
    <w:p w:rsidR="008A05F5" w:rsidRDefault="008A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Semilight"/>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022811"/>
      <w:docPartObj>
        <w:docPartGallery w:val="Page Numbers (Bottom of Page)"/>
        <w:docPartUnique/>
      </w:docPartObj>
    </w:sdtPr>
    <w:sdtEndPr>
      <w:rPr>
        <w:noProof/>
      </w:rPr>
    </w:sdtEndPr>
    <w:sdtContent>
      <w:p w:rsidR="00E367B7" w:rsidRDefault="00E367B7">
        <w:pPr>
          <w:pStyle w:val="Footer"/>
          <w:jc w:val="center"/>
        </w:pPr>
        <w:r>
          <w:fldChar w:fldCharType="begin"/>
        </w:r>
        <w:r>
          <w:instrText xml:space="preserve"> PAGE   \* MERGEFORMAT </w:instrText>
        </w:r>
        <w:r>
          <w:fldChar w:fldCharType="separate"/>
        </w:r>
        <w:r w:rsidR="0038584E">
          <w:rPr>
            <w:noProof/>
          </w:rPr>
          <w:t>1</w:t>
        </w:r>
        <w:r>
          <w:rPr>
            <w:noProof/>
          </w:rPr>
          <w:fldChar w:fldCharType="end"/>
        </w:r>
      </w:p>
    </w:sdtContent>
  </w:sdt>
  <w:p w:rsidR="00634CFD" w:rsidRPr="00FF17E5" w:rsidRDefault="00634CFD" w:rsidP="00FF17E5">
    <w:pPr>
      <w:pStyle w:val="Footer"/>
      <w:tabs>
        <w:tab w:val="clear" w:pos="4320"/>
        <w:tab w:val="center" w:pos="4962"/>
      </w:tabs>
      <w:rPr>
        <w:b/>
        <w:color w:val="000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F5" w:rsidRDefault="008A05F5">
      <w:r>
        <w:separator/>
      </w:r>
    </w:p>
  </w:footnote>
  <w:footnote w:type="continuationSeparator" w:id="0">
    <w:p w:rsidR="008A05F5" w:rsidRDefault="008A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FD" w:rsidRDefault="00634CFD" w:rsidP="009D719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517"/>
    <w:multiLevelType w:val="hybridMultilevel"/>
    <w:tmpl w:val="E75A2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5602B1D"/>
    <w:multiLevelType w:val="hybridMultilevel"/>
    <w:tmpl w:val="72D00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72778C8"/>
    <w:multiLevelType w:val="hybridMultilevel"/>
    <w:tmpl w:val="D114A8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683A3ECA"/>
    <w:multiLevelType w:val="hybridMultilevel"/>
    <w:tmpl w:val="0E1A5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E8C0623"/>
    <w:multiLevelType w:val="hybridMultilevel"/>
    <w:tmpl w:val="5164CF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lvlOverride w:ilvl="0"/>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AC"/>
    <w:rsid w:val="000020D6"/>
    <w:rsid w:val="00006A8A"/>
    <w:rsid w:val="00011EE8"/>
    <w:rsid w:val="00021FEA"/>
    <w:rsid w:val="00022761"/>
    <w:rsid w:val="000235BD"/>
    <w:rsid w:val="00030E32"/>
    <w:rsid w:val="0004055E"/>
    <w:rsid w:val="000464D7"/>
    <w:rsid w:val="00046E85"/>
    <w:rsid w:val="00050E01"/>
    <w:rsid w:val="00062105"/>
    <w:rsid w:val="00065F62"/>
    <w:rsid w:val="00067129"/>
    <w:rsid w:val="00070DD4"/>
    <w:rsid w:val="000715FF"/>
    <w:rsid w:val="00085A30"/>
    <w:rsid w:val="00097D59"/>
    <w:rsid w:val="000B0B0E"/>
    <w:rsid w:val="000B2C5B"/>
    <w:rsid w:val="000C4D2D"/>
    <w:rsid w:val="000D5C8D"/>
    <w:rsid w:val="000E13A1"/>
    <w:rsid w:val="000E7F51"/>
    <w:rsid w:val="000F1F95"/>
    <w:rsid w:val="000F7290"/>
    <w:rsid w:val="001059FF"/>
    <w:rsid w:val="00112B8C"/>
    <w:rsid w:val="0012365F"/>
    <w:rsid w:val="0013004E"/>
    <w:rsid w:val="00133ABD"/>
    <w:rsid w:val="00151D39"/>
    <w:rsid w:val="001565BD"/>
    <w:rsid w:val="00165F37"/>
    <w:rsid w:val="00170CBA"/>
    <w:rsid w:val="00186769"/>
    <w:rsid w:val="00195D7A"/>
    <w:rsid w:val="001974A2"/>
    <w:rsid w:val="001B23A4"/>
    <w:rsid w:val="001B38F1"/>
    <w:rsid w:val="001B75D1"/>
    <w:rsid w:val="001C0039"/>
    <w:rsid w:val="001C2A9B"/>
    <w:rsid w:val="001C685E"/>
    <w:rsid w:val="001D4667"/>
    <w:rsid w:val="001F71CB"/>
    <w:rsid w:val="00202823"/>
    <w:rsid w:val="0020750C"/>
    <w:rsid w:val="0023278A"/>
    <w:rsid w:val="00245F87"/>
    <w:rsid w:val="00252ADC"/>
    <w:rsid w:val="00261731"/>
    <w:rsid w:val="00275902"/>
    <w:rsid w:val="00281291"/>
    <w:rsid w:val="00292A93"/>
    <w:rsid w:val="002A1C73"/>
    <w:rsid w:val="002B70A7"/>
    <w:rsid w:val="002C3F64"/>
    <w:rsid w:val="002C5EFF"/>
    <w:rsid w:val="002C644E"/>
    <w:rsid w:val="002C6688"/>
    <w:rsid w:val="002D33F5"/>
    <w:rsid w:val="002D71D0"/>
    <w:rsid w:val="002E7320"/>
    <w:rsid w:val="002F2974"/>
    <w:rsid w:val="002F3481"/>
    <w:rsid w:val="003027E4"/>
    <w:rsid w:val="00304035"/>
    <w:rsid w:val="00334B37"/>
    <w:rsid w:val="00342DC1"/>
    <w:rsid w:val="00346A65"/>
    <w:rsid w:val="00357453"/>
    <w:rsid w:val="0038584E"/>
    <w:rsid w:val="0038673A"/>
    <w:rsid w:val="00387D04"/>
    <w:rsid w:val="003956E6"/>
    <w:rsid w:val="00397600"/>
    <w:rsid w:val="003A1AF0"/>
    <w:rsid w:val="003A73F9"/>
    <w:rsid w:val="003B3E1F"/>
    <w:rsid w:val="003B7113"/>
    <w:rsid w:val="003C388E"/>
    <w:rsid w:val="003E3058"/>
    <w:rsid w:val="003F06C6"/>
    <w:rsid w:val="003F3D06"/>
    <w:rsid w:val="0041040B"/>
    <w:rsid w:val="004163BA"/>
    <w:rsid w:val="00416A72"/>
    <w:rsid w:val="00424ED0"/>
    <w:rsid w:val="00433001"/>
    <w:rsid w:val="00436633"/>
    <w:rsid w:val="00463EBA"/>
    <w:rsid w:val="00467B83"/>
    <w:rsid w:val="00472F8C"/>
    <w:rsid w:val="004838F6"/>
    <w:rsid w:val="00485321"/>
    <w:rsid w:val="00491D44"/>
    <w:rsid w:val="00491FAA"/>
    <w:rsid w:val="0049675A"/>
    <w:rsid w:val="004A281B"/>
    <w:rsid w:val="004B7174"/>
    <w:rsid w:val="004C6C86"/>
    <w:rsid w:val="004D23F7"/>
    <w:rsid w:val="004D3F7C"/>
    <w:rsid w:val="004D7849"/>
    <w:rsid w:val="004E1217"/>
    <w:rsid w:val="004E4195"/>
    <w:rsid w:val="004E5ADF"/>
    <w:rsid w:val="004F215F"/>
    <w:rsid w:val="00502AE9"/>
    <w:rsid w:val="00512C97"/>
    <w:rsid w:val="005132A3"/>
    <w:rsid w:val="00525B06"/>
    <w:rsid w:val="0055251A"/>
    <w:rsid w:val="00557DC6"/>
    <w:rsid w:val="00571248"/>
    <w:rsid w:val="00591837"/>
    <w:rsid w:val="00595B51"/>
    <w:rsid w:val="005A15B4"/>
    <w:rsid w:val="005A3947"/>
    <w:rsid w:val="005B3D1A"/>
    <w:rsid w:val="005B4691"/>
    <w:rsid w:val="005B5B00"/>
    <w:rsid w:val="005D70E6"/>
    <w:rsid w:val="005E70A2"/>
    <w:rsid w:val="005E7A51"/>
    <w:rsid w:val="005F79BB"/>
    <w:rsid w:val="00606D0C"/>
    <w:rsid w:val="006136D2"/>
    <w:rsid w:val="006146A6"/>
    <w:rsid w:val="00621BE1"/>
    <w:rsid w:val="006226F6"/>
    <w:rsid w:val="00630F7D"/>
    <w:rsid w:val="00634CFD"/>
    <w:rsid w:val="00635F27"/>
    <w:rsid w:val="00671163"/>
    <w:rsid w:val="006854AC"/>
    <w:rsid w:val="00694208"/>
    <w:rsid w:val="006A3AD4"/>
    <w:rsid w:val="006D164A"/>
    <w:rsid w:val="006D1D4A"/>
    <w:rsid w:val="006D30AC"/>
    <w:rsid w:val="006D3FF5"/>
    <w:rsid w:val="006E3F29"/>
    <w:rsid w:val="00702386"/>
    <w:rsid w:val="00707F75"/>
    <w:rsid w:val="007124D6"/>
    <w:rsid w:val="00720514"/>
    <w:rsid w:val="0072177D"/>
    <w:rsid w:val="00723240"/>
    <w:rsid w:val="007257FB"/>
    <w:rsid w:val="00742260"/>
    <w:rsid w:val="007424D7"/>
    <w:rsid w:val="007448DC"/>
    <w:rsid w:val="00745766"/>
    <w:rsid w:val="00747728"/>
    <w:rsid w:val="00771E20"/>
    <w:rsid w:val="007955DC"/>
    <w:rsid w:val="00795C38"/>
    <w:rsid w:val="007A0AEE"/>
    <w:rsid w:val="007C54F4"/>
    <w:rsid w:val="007C655E"/>
    <w:rsid w:val="007C7467"/>
    <w:rsid w:val="007E1F2B"/>
    <w:rsid w:val="0081656D"/>
    <w:rsid w:val="008239C2"/>
    <w:rsid w:val="00846A86"/>
    <w:rsid w:val="0084705E"/>
    <w:rsid w:val="00870189"/>
    <w:rsid w:val="00870243"/>
    <w:rsid w:val="008766A9"/>
    <w:rsid w:val="00876BDE"/>
    <w:rsid w:val="008A05F5"/>
    <w:rsid w:val="008A55BB"/>
    <w:rsid w:val="008B0DE0"/>
    <w:rsid w:val="008B239A"/>
    <w:rsid w:val="008B344B"/>
    <w:rsid w:val="008C0C97"/>
    <w:rsid w:val="008C3AC9"/>
    <w:rsid w:val="008D0265"/>
    <w:rsid w:val="008F417C"/>
    <w:rsid w:val="008F58F4"/>
    <w:rsid w:val="0090105B"/>
    <w:rsid w:val="00915966"/>
    <w:rsid w:val="00924A0F"/>
    <w:rsid w:val="0093678A"/>
    <w:rsid w:val="00936F9C"/>
    <w:rsid w:val="0095422C"/>
    <w:rsid w:val="00954B2D"/>
    <w:rsid w:val="0096194C"/>
    <w:rsid w:val="00963D6F"/>
    <w:rsid w:val="00974474"/>
    <w:rsid w:val="009A6B5A"/>
    <w:rsid w:val="009B2ACB"/>
    <w:rsid w:val="009B49B5"/>
    <w:rsid w:val="009B60DF"/>
    <w:rsid w:val="009D0E2F"/>
    <w:rsid w:val="009D7199"/>
    <w:rsid w:val="009E5304"/>
    <w:rsid w:val="00A063BE"/>
    <w:rsid w:val="00A16B0D"/>
    <w:rsid w:val="00A17C77"/>
    <w:rsid w:val="00A2272B"/>
    <w:rsid w:val="00A23C21"/>
    <w:rsid w:val="00A32111"/>
    <w:rsid w:val="00A32CB7"/>
    <w:rsid w:val="00A5730E"/>
    <w:rsid w:val="00A938F8"/>
    <w:rsid w:val="00AA0A67"/>
    <w:rsid w:val="00AB70D1"/>
    <w:rsid w:val="00AC37AC"/>
    <w:rsid w:val="00AE05A2"/>
    <w:rsid w:val="00AE2235"/>
    <w:rsid w:val="00AE6C90"/>
    <w:rsid w:val="00AF22CE"/>
    <w:rsid w:val="00B00F4F"/>
    <w:rsid w:val="00B123A3"/>
    <w:rsid w:val="00B24B55"/>
    <w:rsid w:val="00B309B4"/>
    <w:rsid w:val="00B3411B"/>
    <w:rsid w:val="00B50C57"/>
    <w:rsid w:val="00B52098"/>
    <w:rsid w:val="00B521F7"/>
    <w:rsid w:val="00B537D7"/>
    <w:rsid w:val="00B816A0"/>
    <w:rsid w:val="00B81953"/>
    <w:rsid w:val="00B934C5"/>
    <w:rsid w:val="00BA03BE"/>
    <w:rsid w:val="00BC315E"/>
    <w:rsid w:val="00BD5B34"/>
    <w:rsid w:val="00BE755E"/>
    <w:rsid w:val="00C00350"/>
    <w:rsid w:val="00C12402"/>
    <w:rsid w:val="00C231C4"/>
    <w:rsid w:val="00C251FC"/>
    <w:rsid w:val="00C302E6"/>
    <w:rsid w:val="00C32117"/>
    <w:rsid w:val="00C32D17"/>
    <w:rsid w:val="00C40593"/>
    <w:rsid w:val="00C620E5"/>
    <w:rsid w:val="00C6747A"/>
    <w:rsid w:val="00C85156"/>
    <w:rsid w:val="00C85551"/>
    <w:rsid w:val="00C90CBE"/>
    <w:rsid w:val="00C9310E"/>
    <w:rsid w:val="00C94B97"/>
    <w:rsid w:val="00CB3D5B"/>
    <w:rsid w:val="00CC0764"/>
    <w:rsid w:val="00CC79B3"/>
    <w:rsid w:val="00CE26AB"/>
    <w:rsid w:val="00CE6240"/>
    <w:rsid w:val="00D30536"/>
    <w:rsid w:val="00D61E7D"/>
    <w:rsid w:val="00D653E2"/>
    <w:rsid w:val="00D727E1"/>
    <w:rsid w:val="00D73E6E"/>
    <w:rsid w:val="00D80F33"/>
    <w:rsid w:val="00D91BCA"/>
    <w:rsid w:val="00D924A3"/>
    <w:rsid w:val="00DA3BD6"/>
    <w:rsid w:val="00DA56DF"/>
    <w:rsid w:val="00DB0E66"/>
    <w:rsid w:val="00DB7CA6"/>
    <w:rsid w:val="00DC6A15"/>
    <w:rsid w:val="00DE3477"/>
    <w:rsid w:val="00DF0C28"/>
    <w:rsid w:val="00DF5950"/>
    <w:rsid w:val="00E02D19"/>
    <w:rsid w:val="00E23B0A"/>
    <w:rsid w:val="00E367B7"/>
    <w:rsid w:val="00E37D2B"/>
    <w:rsid w:val="00E41E20"/>
    <w:rsid w:val="00E44ED0"/>
    <w:rsid w:val="00E54726"/>
    <w:rsid w:val="00E54BD3"/>
    <w:rsid w:val="00E60383"/>
    <w:rsid w:val="00E639FC"/>
    <w:rsid w:val="00E6549E"/>
    <w:rsid w:val="00E91472"/>
    <w:rsid w:val="00EB1480"/>
    <w:rsid w:val="00EB1FC3"/>
    <w:rsid w:val="00EC33E3"/>
    <w:rsid w:val="00ED39D6"/>
    <w:rsid w:val="00EF6404"/>
    <w:rsid w:val="00F03864"/>
    <w:rsid w:val="00F11204"/>
    <w:rsid w:val="00F2035B"/>
    <w:rsid w:val="00F22B08"/>
    <w:rsid w:val="00F31ED0"/>
    <w:rsid w:val="00F321D2"/>
    <w:rsid w:val="00F34526"/>
    <w:rsid w:val="00F55F34"/>
    <w:rsid w:val="00F65F24"/>
    <w:rsid w:val="00F66836"/>
    <w:rsid w:val="00F70C4A"/>
    <w:rsid w:val="00F76571"/>
    <w:rsid w:val="00F8099E"/>
    <w:rsid w:val="00F83FF3"/>
    <w:rsid w:val="00F863E4"/>
    <w:rsid w:val="00F95152"/>
    <w:rsid w:val="00F97E9B"/>
    <w:rsid w:val="00FA6BCB"/>
    <w:rsid w:val="00FD4F72"/>
    <w:rsid w:val="00FF17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A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6854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54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104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199"/>
    <w:pPr>
      <w:tabs>
        <w:tab w:val="center" w:pos="4320"/>
        <w:tab w:val="right" w:pos="8640"/>
      </w:tabs>
    </w:pPr>
  </w:style>
  <w:style w:type="paragraph" w:styleId="Footer">
    <w:name w:val="footer"/>
    <w:basedOn w:val="Normal"/>
    <w:link w:val="FooterChar"/>
    <w:uiPriority w:val="99"/>
    <w:rsid w:val="009D7199"/>
    <w:pPr>
      <w:tabs>
        <w:tab w:val="center" w:pos="4320"/>
        <w:tab w:val="right" w:pos="8640"/>
      </w:tabs>
    </w:pPr>
  </w:style>
  <w:style w:type="character" w:styleId="Hyperlink">
    <w:name w:val="Hyperlink"/>
    <w:basedOn w:val="DefaultParagraphFont"/>
    <w:uiPriority w:val="99"/>
    <w:rsid w:val="009D7199"/>
    <w:rPr>
      <w:color w:val="0000FF"/>
      <w:u w:val="single"/>
    </w:rPr>
  </w:style>
  <w:style w:type="character" w:customStyle="1" w:styleId="Heading1Char">
    <w:name w:val="Heading 1 Char"/>
    <w:basedOn w:val="DefaultParagraphFont"/>
    <w:link w:val="Heading1"/>
    <w:uiPriority w:val="9"/>
    <w:rsid w:val="006854A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854AC"/>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6854AC"/>
    <w:pPr>
      <w:ind w:left="720"/>
      <w:contextualSpacing/>
    </w:pPr>
  </w:style>
  <w:style w:type="paragraph" w:styleId="NoSpacing">
    <w:name w:val="No Spacing"/>
    <w:link w:val="NoSpacingChar"/>
    <w:uiPriority w:val="1"/>
    <w:qFormat/>
    <w:rsid w:val="006854A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854AC"/>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E367B7"/>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41040B"/>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C32117"/>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C32117"/>
    <w:rPr>
      <w:sz w:val="24"/>
      <w:szCs w:val="24"/>
      <w:lang w:val="en-GB" w:eastAsia="en-US"/>
    </w:rPr>
  </w:style>
  <w:style w:type="paragraph" w:styleId="FootnoteText">
    <w:name w:val="footnote text"/>
    <w:basedOn w:val="Normal"/>
    <w:link w:val="FootnoteTextChar"/>
    <w:semiHidden/>
    <w:unhideWhenUsed/>
    <w:rsid w:val="00F11204"/>
    <w:pPr>
      <w:spacing w:after="0" w:line="240" w:lineRule="auto"/>
    </w:pPr>
    <w:rPr>
      <w:sz w:val="20"/>
      <w:szCs w:val="20"/>
    </w:rPr>
  </w:style>
  <w:style w:type="character" w:customStyle="1" w:styleId="FootnoteTextChar">
    <w:name w:val="Footnote Text Char"/>
    <w:basedOn w:val="DefaultParagraphFont"/>
    <w:link w:val="FootnoteText"/>
    <w:semiHidden/>
    <w:rsid w:val="00F11204"/>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F11204"/>
    <w:rPr>
      <w:vertAlign w:val="superscript"/>
    </w:rPr>
  </w:style>
  <w:style w:type="paragraph" w:styleId="BalloonText">
    <w:name w:val="Balloon Text"/>
    <w:basedOn w:val="Normal"/>
    <w:link w:val="BalloonTextChar"/>
    <w:semiHidden/>
    <w:unhideWhenUsed/>
    <w:rsid w:val="00EC3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33E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A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6854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54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104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199"/>
    <w:pPr>
      <w:tabs>
        <w:tab w:val="center" w:pos="4320"/>
        <w:tab w:val="right" w:pos="8640"/>
      </w:tabs>
    </w:pPr>
  </w:style>
  <w:style w:type="paragraph" w:styleId="Footer">
    <w:name w:val="footer"/>
    <w:basedOn w:val="Normal"/>
    <w:link w:val="FooterChar"/>
    <w:uiPriority w:val="99"/>
    <w:rsid w:val="009D7199"/>
    <w:pPr>
      <w:tabs>
        <w:tab w:val="center" w:pos="4320"/>
        <w:tab w:val="right" w:pos="8640"/>
      </w:tabs>
    </w:pPr>
  </w:style>
  <w:style w:type="character" w:styleId="Hyperlink">
    <w:name w:val="Hyperlink"/>
    <w:basedOn w:val="DefaultParagraphFont"/>
    <w:uiPriority w:val="99"/>
    <w:rsid w:val="009D7199"/>
    <w:rPr>
      <w:color w:val="0000FF"/>
      <w:u w:val="single"/>
    </w:rPr>
  </w:style>
  <w:style w:type="character" w:customStyle="1" w:styleId="Heading1Char">
    <w:name w:val="Heading 1 Char"/>
    <w:basedOn w:val="DefaultParagraphFont"/>
    <w:link w:val="Heading1"/>
    <w:uiPriority w:val="9"/>
    <w:rsid w:val="006854A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854AC"/>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6854AC"/>
    <w:pPr>
      <w:ind w:left="720"/>
      <w:contextualSpacing/>
    </w:pPr>
  </w:style>
  <w:style w:type="paragraph" w:styleId="NoSpacing">
    <w:name w:val="No Spacing"/>
    <w:link w:val="NoSpacingChar"/>
    <w:uiPriority w:val="1"/>
    <w:qFormat/>
    <w:rsid w:val="006854A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854AC"/>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E367B7"/>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41040B"/>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C32117"/>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C32117"/>
    <w:rPr>
      <w:sz w:val="24"/>
      <w:szCs w:val="24"/>
      <w:lang w:val="en-GB" w:eastAsia="en-US"/>
    </w:rPr>
  </w:style>
  <w:style w:type="paragraph" w:styleId="FootnoteText">
    <w:name w:val="footnote text"/>
    <w:basedOn w:val="Normal"/>
    <w:link w:val="FootnoteTextChar"/>
    <w:semiHidden/>
    <w:unhideWhenUsed/>
    <w:rsid w:val="00F11204"/>
    <w:pPr>
      <w:spacing w:after="0" w:line="240" w:lineRule="auto"/>
    </w:pPr>
    <w:rPr>
      <w:sz w:val="20"/>
      <w:szCs w:val="20"/>
    </w:rPr>
  </w:style>
  <w:style w:type="character" w:customStyle="1" w:styleId="FootnoteTextChar">
    <w:name w:val="Footnote Text Char"/>
    <w:basedOn w:val="DefaultParagraphFont"/>
    <w:link w:val="FootnoteText"/>
    <w:semiHidden/>
    <w:rsid w:val="00F11204"/>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F11204"/>
    <w:rPr>
      <w:vertAlign w:val="superscript"/>
    </w:rPr>
  </w:style>
  <w:style w:type="paragraph" w:styleId="BalloonText">
    <w:name w:val="Balloon Text"/>
    <w:basedOn w:val="Normal"/>
    <w:link w:val="BalloonTextChar"/>
    <w:semiHidden/>
    <w:unhideWhenUsed/>
    <w:rsid w:val="00EC3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33E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830026865">
      <w:bodyDiv w:val="1"/>
      <w:marLeft w:val="0"/>
      <w:marRight w:val="0"/>
      <w:marTop w:val="0"/>
      <w:marBottom w:val="0"/>
      <w:divBdr>
        <w:top w:val="none" w:sz="0" w:space="0" w:color="auto"/>
        <w:left w:val="none" w:sz="0" w:space="0" w:color="auto"/>
        <w:bottom w:val="none" w:sz="0" w:space="0" w:color="auto"/>
        <w:right w:val="none" w:sz="0" w:space="0" w:color="auto"/>
      </w:divBdr>
    </w:div>
    <w:div w:id="9523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tu.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gress@ictu.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taff%20Forms_Templates\Templates\Congr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A0F5C-D92D-41EA-88CF-449039A4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Congress Letterhead</Template>
  <TotalTime>233</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ICTU</Company>
  <LinksUpToDate>false</LinksUpToDate>
  <CharactersWithSpaces>4108</CharactersWithSpaces>
  <SharedDoc>false</SharedDoc>
  <HLinks>
    <vt:vector size="12" baseType="variant">
      <vt:variant>
        <vt:i4>8192047</vt:i4>
      </vt:variant>
      <vt:variant>
        <vt:i4>3</vt:i4>
      </vt:variant>
      <vt:variant>
        <vt:i4>0</vt:i4>
      </vt:variant>
      <vt:variant>
        <vt:i4>5</vt:i4>
      </vt:variant>
      <vt:variant>
        <vt:lpwstr>http://www.ictu.ie/</vt:lpwstr>
      </vt:variant>
      <vt:variant>
        <vt:lpwstr/>
      </vt:variant>
      <vt:variant>
        <vt:i4>5308519</vt:i4>
      </vt:variant>
      <vt:variant>
        <vt:i4>0</vt:i4>
      </vt:variant>
      <vt:variant>
        <vt:i4>0</vt:i4>
      </vt:variant>
      <vt:variant>
        <vt:i4>5</vt:i4>
      </vt:variant>
      <vt:variant>
        <vt:lpwstr>mailto:congress@ictu.ie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Sweeney</dc:creator>
  <cp:lastModifiedBy>Patricia King</cp:lastModifiedBy>
  <cp:revision>12</cp:revision>
  <cp:lastPrinted>2020-01-16T16:59:00Z</cp:lastPrinted>
  <dcterms:created xsi:type="dcterms:W3CDTF">2020-03-19T19:55:00Z</dcterms:created>
  <dcterms:modified xsi:type="dcterms:W3CDTF">2020-03-19T22:17:00Z</dcterms:modified>
</cp:coreProperties>
</file>